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95AD0" w14:textId="77777777" w:rsidR="001074A2" w:rsidRDefault="001074A2" w:rsidP="001074A2">
      <w:pPr>
        <w:pStyle w:val="paragraph"/>
        <w:spacing w:before="0" w:beforeAutospacing="0" w:after="0" w:afterAutospacing="0"/>
        <w:jc w:val="center"/>
        <w:textAlignment w:val="baseline"/>
        <w:rPr>
          <w:rFonts w:ascii="Segoe UI" w:hAnsi="Segoe UI" w:cs="Segoe UI"/>
          <w:sz w:val="18"/>
          <w:szCs w:val="18"/>
        </w:rPr>
      </w:pPr>
      <w:r>
        <w:rPr>
          <w:rStyle w:val="normaltextrun"/>
          <w:rFonts w:ascii="Aptos" w:eastAsiaTheme="majorEastAsia" w:hAnsi="Aptos" w:cs="Segoe UI"/>
          <w:sz w:val="28"/>
          <w:szCs w:val="28"/>
        </w:rPr>
        <w:t>HIWFRS advice in respect of HMOs and of Planning Applications not involving higher-risk premises.</w:t>
      </w:r>
      <w:r>
        <w:rPr>
          <w:rStyle w:val="eop"/>
          <w:rFonts w:ascii="Aptos" w:eastAsiaTheme="majorEastAsia" w:hAnsi="Aptos" w:cs="Segoe UI"/>
          <w:sz w:val="28"/>
          <w:szCs w:val="28"/>
        </w:rPr>
        <w:t> </w:t>
      </w:r>
    </w:p>
    <w:p w14:paraId="45902BE2" w14:textId="77777777" w:rsidR="00FE2453" w:rsidRDefault="00FE2453" w:rsidP="00FE2453">
      <w:pPr>
        <w:pStyle w:val="paragraph"/>
        <w:spacing w:before="0" w:beforeAutospacing="0" w:after="0" w:afterAutospacing="0"/>
        <w:jc w:val="center"/>
        <w:textAlignment w:val="baseline"/>
        <w:rPr>
          <w:rStyle w:val="eop"/>
          <w:rFonts w:ascii="Aptos" w:eastAsiaTheme="majorEastAsia" w:hAnsi="Aptos" w:cs="Segoe UI"/>
          <w:sz w:val="28"/>
          <w:szCs w:val="28"/>
        </w:rPr>
      </w:pPr>
    </w:p>
    <w:p w14:paraId="4A04B689" w14:textId="2D5589B2" w:rsidR="001074A2" w:rsidRPr="00FE2453" w:rsidRDefault="001074A2" w:rsidP="00FE2453">
      <w:pPr>
        <w:pStyle w:val="paragraph"/>
        <w:spacing w:before="0" w:beforeAutospacing="0" w:after="0" w:afterAutospacing="0"/>
        <w:jc w:val="center"/>
        <w:textAlignment w:val="baseline"/>
        <w:rPr>
          <w:rStyle w:val="normaltextrun"/>
          <w:rFonts w:ascii="Segoe UI" w:hAnsi="Segoe UI" w:cs="Segoe UI"/>
          <w:sz w:val="18"/>
          <w:szCs w:val="18"/>
        </w:rPr>
      </w:pPr>
      <w:r>
        <w:rPr>
          <w:rStyle w:val="eop"/>
          <w:rFonts w:ascii="Aptos" w:eastAsiaTheme="majorEastAsia" w:hAnsi="Aptos" w:cs="Segoe UI"/>
          <w:sz w:val="28"/>
          <w:szCs w:val="28"/>
        </w:rPr>
        <w:t> </w:t>
      </w:r>
    </w:p>
    <w:p w14:paraId="574DF5A5" w14:textId="31DB739F" w:rsidR="001074A2" w:rsidRDefault="001074A2" w:rsidP="001074A2">
      <w:pPr>
        <w:pStyle w:val="paragraph"/>
        <w:spacing w:before="0" w:beforeAutospacing="0" w:after="0" w:afterAutospacing="0"/>
        <w:jc w:val="both"/>
        <w:textAlignment w:val="baseline"/>
        <w:rPr>
          <w:rStyle w:val="eop"/>
          <w:rFonts w:ascii="Aptos" w:eastAsiaTheme="majorEastAsia" w:hAnsi="Aptos" w:cs="Segoe UI"/>
        </w:rPr>
      </w:pPr>
      <w:r>
        <w:rPr>
          <w:rStyle w:val="normaltextrun"/>
          <w:rFonts w:ascii="Aptos" w:eastAsiaTheme="majorEastAsia" w:hAnsi="Aptos" w:cs="Segoe UI"/>
          <w:b/>
          <w:bCs/>
        </w:rPr>
        <w:t>General Guidance in respect of Planning Applications deemed to present a low- or medium- level of risk. </w:t>
      </w:r>
      <w:r>
        <w:rPr>
          <w:rStyle w:val="eop"/>
          <w:rFonts w:ascii="Aptos" w:eastAsiaTheme="majorEastAsia" w:hAnsi="Aptos" w:cs="Segoe UI"/>
        </w:rPr>
        <w:t> </w:t>
      </w:r>
    </w:p>
    <w:p w14:paraId="1E543183"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p>
    <w:p w14:paraId="64D5A5B6"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b/>
          <w:bCs/>
        </w:rPr>
        <w:t>Access for Fire Appliances</w:t>
      </w:r>
      <w:r>
        <w:rPr>
          <w:rStyle w:val="eop"/>
          <w:rFonts w:ascii="Arial" w:eastAsiaTheme="majorEastAsia" w:hAnsi="Arial" w:cs="Arial"/>
        </w:rPr>
        <w:t> </w:t>
      </w:r>
    </w:p>
    <w:p w14:paraId="73433119"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rPr>
        <w:t> </w:t>
      </w:r>
      <w:r>
        <w:rPr>
          <w:rStyle w:val="eop"/>
          <w:rFonts w:ascii="Arial" w:eastAsiaTheme="majorEastAsia" w:hAnsi="Arial" w:cs="Arial"/>
        </w:rPr>
        <w:t> </w:t>
      </w:r>
    </w:p>
    <w:p w14:paraId="73BF8131"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rPr>
        <w:t>Vehicular access to each building on-site should conform to the guidance contained within the relevant version of Approved Document B.  Whilst it is acknowledged that Building Regulations guidance is not typically considered at the planning stage, it is observed that road layouts may be difficult to alter once planning permission is granted.  </w:t>
      </w:r>
      <w:r>
        <w:rPr>
          <w:rStyle w:val="eop"/>
          <w:rFonts w:ascii="Arial" w:eastAsiaTheme="majorEastAsia" w:hAnsi="Arial" w:cs="Arial"/>
        </w:rPr>
        <w:t> </w:t>
      </w:r>
    </w:p>
    <w:p w14:paraId="14CC3169"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rPr>
        <w:t> </w:t>
      </w:r>
      <w:r>
        <w:rPr>
          <w:rStyle w:val="eop"/>
          <w:rFonts w:ascii="Arial" w:eastAsiaTheme="majorEastAsia" w:hAnsi="Arial" w:cs="Arial"/>
        </w:rPr>
        <w:t> </w:t>
      </w:r>
    </w:p>
    <w:p w14:paraId="78903F51"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rPr>
        <w:t>It is therefore strongly recommended that the roadway layouts be reviewed in line with this guidance to resolve any perceived issues at an early stage.</w:t>
      </w:r>
      <w:r>
        <w:rPr>
          <w:rStyle w:val="eop"/>
          <w:rFonts w:ascii="Arial" w:eastAsiaTheme="majorEastAsia" w:hAnsi="Arial" w:cs="Arial"/>
        </w:rPr>
        <w:t> </w:t>
      </w:r>
    </w:p>
    <w:p w14:paraId="50D9ECC7"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rPr>
        <w:t> </w:t>
      </w:r>
      <w:r>
        <w:rPr>
          <w:rStyle w:val="eop"/>
          <w:rFonts w:ascii="Arial" w:eastAsiaTheme="majorEastAsia" w:hAnsi="Arial" w:cs="Arial"/>
        </w:rPr>
        <w:t> </w:t>
      </w:r>
    </w:p>
    <w:p w14:paraId="535D6CED"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b/>
          <w:bCs/>
        </w:rPr>
        <w:t>Access for High-reach Appliances </w:t>
      </w:r>
      <w:r>
        <w:rPr>
          <w:rStyle w:val="eop"/>
          <w:rFonts w:ascii="Arial" w:eastAsiaTheme="majorEastAsia" w:hAnsi="Arial" w:cs="Arial"/>
        </w:rPr>
        <w:t> </w:t>
      </w:r>
    </w:p>
    <w:p w14:paraId="4228A9BF"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rPr>
        <w:t> </w:t>
      </w:r>
      <w:r>
        <w:rPr>
          <w:rStyle w:val="eop"/>
          <w:rFonts w:ascii="Arial" w:eastAsiaTheme="majorEastAsia" w:hAnsi="Arial" w:cs="Arial"/>
        </w:rPr>
        <w:t> </w:t>
      </w:r>
    </w:p>
    <w:p w14:paraId="2D04E293"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rPr>
        <w:t>High reach appliances currently operated by the HIWFRS exceed the maximum requirements given in Section 17 of the Approved Document B. When considering high rise buildings these variations should be considered as additions and incorporated as follows.  Structures such as bridges, which a high-reach appliance may need to cross should have a maximum carrying capacity of 26 tonnes. Where the operation of a high reach vehicle is envisaged, a road or hard standing is required 6m wide.  In addition, the road or hard standing needs to be positioned so that its nearer edge is not less than 3m from the face of the building. </w:t>
      </w:r>
      <w:r>
        <w:rPr>
          <w:rStyle w:val="eop"/>
          <w:rFonts w:ascii="Arial" w:eastAsiaTheme="majorEastAsia" w:hAnsi="Arial" w:cs="Arial"/>
        </w:rPr>
        <w:t> </w:t>
      </w:r>
    </w:p>
    <w:p w14:paraId="2F74E13E"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rPr>
        <w:t> </w:t>
      </w:r>
      <w:r>
        <w:rPr>
          <w:rStyle w:val="eop"/>
          <w:rFonts w:ascii="Arial" w:eastAsiaTheme="majorEastAsia" w:hAnsi="Arial" w:cs="Arial"/>
        </w:rPr>
        <w:t> </w:t>
      </w:r>
    </w:p>
    <w:p w14:paraId="31F1D813"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b/>
          <w:bCs/>
        </w:rPr>
        <w:t>Water Supplies </w:t>
      </w:r>
      <w:r>
        <w:rPr>
          <w:rStyle w:val="eop"/>
          <w:rFonts w:ascii="Arial" w:eastAsiaTheme="majorEastAsia" w:hAnsi="Arial" w:cs="Arial"/>
        </w:rPr>
        <w:t> </w:t>
      </w:r>
    </w:p>
    <w:p w14:paraId="25FB0E7F"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rPr>
        <w:t> </w:t>
      </w:r>
      <w:r>
        <w:rPr>
          <w:rStyle w:val="eop"/>
          <w:rFonts w:ascii="Arial" w:eastAsiaTheme="majorEastAsia" w:hAnsi="Arial" w:cs="Arial"/>
        </w:rPr>
        <w:t> </w:t>
      </w:r>
    </w:p>
    <w:p w14:paraId="2B67DD74"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rPr>
        <w:t>Additional water supplies for firefighting may be necessary. You should contact the Water Management Team, Hampshire &amp; IOW Fire and Rescue Headquarters, Leigh Road, Eastleigh, SO50 9SJ (</w:t>
      </w:r>
      <w:hyperlink r:id="rId5" w:tgtFrame="_blank" w:history="1">
        <w:r>
          <w:rPr>
            <w:rStyle w:val="normaltextrun"/>
            <w:rFonts w:ascii="Arial" w:eastAsiaTheme="majorEastAsia" w:hAnsi="Arial" w:cs="Arial"/>
            <w:color w:val="467886"/>
            <w:u w:val="single"/>
          </w:rPr>
          <w:t>hydrants@hantsfire.gov.uk</w:t>
        </w:r>
      </w:hyperlink>
      <w:r>
        <w:rPr>
          <w:rStyle w:val="normaltextrun"/>
          <w:rFonts w:ascii="Arial" w:eastAsiaTheme="majorEastAsia" w:hAnsi="Arial" w:cs="Arial"/>
        </w:rPr>
        <w:t>) to discuss your proposals.</w:t>
      </w:r>
      <w:r>
        <w:rPr>
          <w:rStyle w:val="eop"/>
          <w:rFonts w:ascii="Arial" w:eastAsiaTheme="majorEastAsia" w:hAnsi="Arial" w:cs="Arial"/>
        </w:rPr>
        <w:t> </w:t>
      </w:r>
    </w:p>
    <w:p w14:paraId="4AA77146"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rPr>
        <w:t> </w:t>
      </w:r>
      <w:r>
        <w:rPr>
          <w:rStyle w:val="eop"/>
          <w:rFonts w:ascii="Arial" w:eastAsiaTheme="majorEastAsia" w:hAnsi="Arial" w:cs="Arial"/>
        </w:rPr>
        <w:t> </w:t>
      </w:r>
    </w:p>
    <w:p w14:paraId="14B164DF"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b/>
          <w:bCs/>
        </w:rPr>
        <w:t>Fire Protection </w:t>
      </w:r>
      <w:r>
        <w:rPr>
          <w:rStyle w:val="eop"/>
          <w:rFonts w:ascii="Arial" w:eastAsiaTheme="majorEastAsia" w:hAnsi="Arial" w:cs="Arial"/>
        </w:rPr>
        <w:t> </w:t>
      </w:r>
    </w:p>
    <w:p w14:paraId="74777BB3"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b/>
          <w:bCs/>
        </w:rPr>
        <w:t> </w:t>
      </w:r>
      <w:r>
        <w:rPr>
          <w:rStyle w:val="eop"/>
          <w:rFonts w:ascii="Arial" w:eastAsiaTheme="majorEastAsia" w:hAnsi="Arial" w:cs="Arial"/>
        </w:rPr>
        <w:t> </w:t>
      </w:r>
    </w:p>
    <w:p w14:paraId="26D1872D"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rPr>
        <w:t>HIWFRS would strongly recommend that consideration is given to the installation of Automatic Water Fire Suppression Systems (AWFSS) to promote life safety and property protection within the premises.</w:t>
      </w:r>
      <w:r>
        <w:rPr>
          <w:rStyle w:val="eop"/>
          <w:rFonts w:ascii="Arial" w:eastAsiaTheme="majorEastAsia" w:hAnsi="Arial" w:cs="Arial"/>
        </w:rPr>
        <w:t> </w:t>
      </w:r>
    </w:p>
    <w:p w14:paraId="4F3B9AA5"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rPr>
        <w:t> </w:t>
      </w:r>
      <w:r>
        <w:rPr>
          <w:rStyle w:val="eop"/>
          <w:rFonts w:ascii="Arial" w:eastAsiaTheme="majorEastAsia" w:hAnsi="Arial" w:cs="Arial"/>
        </w:rPr>
        <w:t> </w:t>
      </w:r>
    </w:p>
    <w:p w14:paraId="3CA888DA"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rPr>
        <w:t>HIWFRS is fully committed to promoting Fire Protection Systems for both business and domestic premises. Support is offered to assist all in achieving a reduction of loss of life and the impact of fire on the wider community.</w:t>
      </w:r>
      <w:r>
        <w:rPr>
          <w:rStyle w:val="eop"/>
          <w:rFonts w:ascii="Arial" w:eastAsiaTheme="majorEastAsia" w:hAnsi="Arial" w:cs="Arial"/>
        </w:rPr>
        <w:t> </w:t>
      </w:r>
    </w:p>
    <w:p w14:paraId="2896F607"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rPr>
        <w:t> </w:t>
      </w:r>
    </w:p>
    <w:p w14:paraId="607F7D1B" w14:textId="4F65D765" w:rsidR="001074A2" w:rsidRDefault="001074A2" w:rsidP="001074A2">
      <w:pPr>
        <w:pStyle w:val="paragraph"/>
        <w:spacing w:before="0" w:beforeAutospacing="0" w:after="0" w:afterAutospacing="0"/>
        <w:jc w:val="both"/>
        <w:textAlignment w:val="baseline"/>
        <w:rPr>
          <w:rStyle w:val="eop"/>
          <w:rFonts w:ascii="Arial" w:eastAsiaTheme="majorEastAsia" w:hAnsi="Arial" w:cs="Arial"/>
        </w:rPr>
      </w:pPr>
      <w:r>
        <w:rPr>
          <w:rStyle w:val="eop"/>
          <w:rFonts w:ascii="Arial" w:eastAsiaTheme="majorEastAsia" w:hAnsi="Arial" w:cs="Arial"/>
        </w:rPr>
        <w:t>  </w:t>
      </w:r>
    </w:p>
    <w:p w14:paraId="697807F8" w14:textId="77777777" w:rsidR="00FE2453" w:rsidRDefault="00FE2453" w:rsidP="001074A2">
      <w:pPr>
        <w:pStyle w:val="paragraph"/>
        <w:spacing w:before="0" w:beforeAutospacing="0" w:after="0" w:afterAutospacing="0"/>
        <w:jc w:val="both"/>
        <w:textAlignment w:val="baseline"/>
        <w:rPr>
          <w:rStyle w:val="eop"/>
          <w:rFonts w:ascii="Arial" w:eastAsiaTheme="majorEastAsia" w:hAnsi="Arial" w:cs="Arial"/>
        </w:rPr>
      </w:pPr>
    </w:p>
    <w:p w14:paraId="107DBE3F" w14:textId="77777777" w:rsidR="00FE2453" w:rsidRDefault="00FE2453" w:rsidP="001074A2">
      <w:pPr>
        <w:pStyle w:val="paragraph"/>
        <w:spacing w:before="0" w:beforeAutospacing="0" w:after="0" w:afterAutospacing="0"/>
        <w:jc w:val="both"/>
        <w:textAlignment w:val="baseline"/>
        <w:rPr>
          <w:rStyle w:val="eop"/>
          <w:rFonts w:ascii="Arial" w:eastAsiaTheme="majorEastAsia" w:hAnsi="Arial" w:cs="Arial"/>
        </w:rPr>
      </w:pPr>
    </w:p>
    <w:p w14:paraId="4689576E" w14:textId="77777777" w:rsidR="00FE2453" w:rsidRDefault="00FE2453" w:rsidP="001074A2">
      <w:pPr>
        <w:pStyle w:val="paragraph"/>
        <w:spacing w:before="0" w:beforeAutospacing="0" w:after="0" w:afterAutospacing="0"/>
        <w:jc w:val="both"/>
        <w:textAlignment w:val="baseline"/>
        <w:rPr>
          <w:rStyle w:val="eop"/>
          <w:rFonts w:ascii="Arial" w:eastAsiaTheme="majorEastAsia" w:hAnsi="Arial" w:cs="Arial"/>
        </w:rPr>
      </w:pPr>
    </w:p>
    <w:p w14:paraId="7F7EDA45" w14:textId="77777777" w:rsidR="00FE2453" w:rsidRDefault="00FE2453" w:rsidP="001074A2">
      <w:pPr>
        <w:pStyle w:val="paragraph"/>
        <w:spacing w:before="0" w:beforeAutospacing="0" w:after="0" w:afterAutospacing="0"/>
        <w:jc w:val="both"/>
        <w:textAlignment w:val="baseline"/>
        <w:rPr>
          <w:rStyle w:val="eop"/>
          <w:rFonts w:ascii="Arial" w:eastAsiaTheme="majorEastAsia" w:hAnsi="Arial" w:cs="Arial"/>
        </w:rPr>
      </w:pPr>
    </w:p>
    <w:p w14:paraId="5193C767" w14:textId="77777777" w:rsidR="00FE2453" w:rsidRDefault="00FE2453" w:rsidP="001074A2">
      <w:pPr>
        <w:pStyle w:val="paragraph"/>
        <w:spacing w:before="0" w:beforeAutospacing="0" w:after="0" w:afterAutospacing="0"/>
        <w:jc w:val="both"/>
        <w:textAlignment w:val="baseline"/>
        <w:rPr>
          <w:rFonts w:ascii="Segoe UI" w:hAnsi="Segoe UI" w:cs="Segoe UI"/>
          <w:sz w:val="18"/>
          <w:szCs w:val="18"/>
        </w:rPr>
      </w:pPr>
    </w:p>
    <w:p w14:paraId="15EF6654" w14:textId="5DC3BBDA"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b/>
          <w:bCs/>
        </w:rPr>
        <w:t>Firefighting and the Environment</w:t>
      </w:r>
      <w:r>
        <w:rPr>
          <w:rStyle w:val="eop"/>
          <w:rFonts w:ascii="Arial" w:eastAsiaTheme="majorEastAsia" w:hAnsi="Arial" w:cs="Arial"/>
        </w:rPr>
        <w:t> </w:t>
      </w:r>
    </w:p>
    <w:p w14:paraId="1C355F1D"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b/>
          <w:bCs/>
        </w:rPr>
        <w:t> </w:t>
      </w:r>
      <w:r>
        <w:rPr>
          <w:rStyle w:val="eop"/>
          <w:rFonts w:ascii="Arial" w:eastAsiaTheme="majorEastAsia" w:hAnsi="Arial" w:cs="Arial"/>
        </w:rPr>
        <w:t> </w:t>
      </w:r>
    </w:p>
    <w:p w14:paraId="468E90A9" w14:textId="77777777" w:rsidR="001074A2" w:rsidRDefault="001074A2" w:rsidP="001074A2">
      <w:pPr>
        <w:pStyle w:val="paragraph"/>
        <w:spacing w:before="0" w:beforeAutospacing="0" w:after="0" w:afterAutospacing="0"/>
        <w:ind w:right="75"/>
        <w:jc w:val="both"/>
        <w:textAlignment w:val="baseline"/>
        <w:rPr>
          <w:rFonts w:ascii="Segoe UI" w:hAnsi="Segoe UI" w:cs="Segoe UI"/>
          <w:sz w:val="18"/>
          <w:szCs w:val="18"/>
        </w:rPr>
      </w:pPr>
      <w:r>
        <w:rPr>
          <w:rStyle w:val="normaltextrun"/>
          <w:rFonts w:ascii="Arial" w:eastAsiaTheme="majorEastAsia" w:hAnsi="Arial" w:cs="Arial"/>
        </w:rPr>
        <w:t>Should a serious unsuppressed fire occur on the premises, the water environment may become polluted with ‘fire water run-off’ that may include foam. The Service will liaise with the Environment Agency at any incident where they are in attendance and under certain circumstances, where there is a serious risk to the environment, a ‘controlled burn’ may take place. This of course could lead to the total loss of the building and its contents.</w:t>
      </w:r>
      <w:r>
        <w:rPr>
          <w:rStyle w:val="eop"/>
          <w:rFonts w:ascii="Arial" w:eastAsiaTheme="majorEastAsia" w:hAnsi="Arial" w:cs="Arial"/>
        </w:rPr>
        <w:t> </w:t>
      </w:r>
    </w:p>
    <w:p w14:paraId="665074EA" w14:textId="77777777" w:rsidR="001074A2" w:rsidRDefault="001074A2" w:rsidP="001074A2">
      <w:pPr>
        <w:pStyle w:val="paragraph"/>
        <w:spacing w:before="0" w:beforeAutospacing="0" w:after="0" w:afterAutospacing="0"/>
        <w:ind w:right="75"/>
        <w:jc w:val="both"/>
        <w:textAlignment w:val="baseline"/>
        <w:rPr>
          <w:rFonts w:ascii="Segoe UI" w:hAnsi="Segoe UI" w:cs="Segoe UI"/>
          <w:sz w:val="18"/>
          <w:szCs w:val="18"/>
        </w:rPr>
      </w:pPr>
      <w:r>
        <w:rPr>
          <w:rStyle w:val="normaltextrun"/>
          <w:rFonts w:ascii="Arial" w:eastAsiaTheme="majorEastAsia" w:hAnsi="Arial" w:cs="Arial"/>
        </w:rPr>
        <w:t> </w:t>
      </w:r>
      <w:r>
        <w:rPr>
          <w:rStyle w:val="eop"/>
          <w:rFonts w:ascii="Arial" w:eastAsiaTheme="majorEastAsia" w:hAnsi="Arial" w:cs="Arial"/>
        </w:rPr>
        <w:t> </w:t>
      </w:r>
    </w:p>
    <w:p w14:paraId="37A226D3"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rPr>
        <w:t>Premises’ occupiers have a duty to prevent and mitigate damage to the water environment from ‘fire water run off’ and other spillages.</w:t>
      </w:r>
      <w:r>
        <w:rPr>
          <w:rStyle w:val="eop"/>
          <w:rFonts w:ascii="Arial" w:eastAsiaTheme="majorEastAsia" w:hAnsi="Arial" w:cs="Arial"/>
        </w:rPr>
        <w:t> </w:t>
      </w:r>
    </w:p>
    <w:p w14:paraId="62B8431E"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eop"/>
          <w:rFonts w:ascii="Arial" w:eastAsiaTheme="majorEastAsia" w:hAnsi="Arial" w:cs="Arial"/>
        </w:rPr>
        <w:t> </w:t>
      </w:r>
    </w:p>
    <w:p w14:paraId="51F3C744"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b/>
          <w:bCs/>
        </w:rPr>
        <w:t>Timber-framed Buildings</w:t>
      </w:r>
      <w:r>
        <w:rPr>
          <w:rStyle w:val="eop"/>
          <w:rFonts w:ascii="Arial" w:eastAsiaTheme="majorEastAsia" w:hAnsi="Arial" w:cs="Arial"/>
        </w:rPr>
        <w:t> </w:t>
      </w:r>
    </w:p>
    <w:p w14:paraId="10304EBA"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b/>
          <w:bCs/>
        </w:rPr>
        <w:t> </w:t>
      </w:r>
      <w:r>
        <w:rPr>
          <w:rStyle w:val="eop"/>
          <w:rFonts w:ascii="Arial" w:eastAsiaTheme="majorEastAsia" w:hAnsi="Arial" w:cs="Arial"/>
        </w:rPr>
        <w:t> </w:t>
      </w:r>
    </w:p>
    <w:p w14:paraId="2848F2F0" w14:textId="77777777" w:rsidR="001074A2" w:rsidRDefault="001074A2" w:rsidP="001074A2">
      <w:pPr>
        <w:pStyle w:val="paragraph"/>
        <w:spacing w:before="0" w:beforeAutospacing="0" w:after="0" w:afterAutospacing="0"/>
        <w:ind w:right="75"/>
        <w:jc w:val="both"/>
        <w:textAlignment w:val="baseline"/>
        <w:rPr>
          <w:rFonts w:ascii="Segoe UI" w:hAnsi="Segoe UI" w:cs="Segoe UI"/>
          <w:sz w:val="18"/>
          <w:szCs w:val="18"/>
        </w:rPr>
      </w:pPr>
      <w:r>
        <w:rPr>
          <w:rStyle w:val="normaltextrun"/>
          <w:rFonts w:ascii="Arial" w:eastAsiaTheme="majorEastAsia" w:hAnsi="Arial" w:cs="Arial"/>
        </w:rPr>
        <w:t>These types of buildings are particularly vulnerable to severe fire damage and fire spread during the construction phase.</w:t>
      </w:r>
      <w:r>
        <w:rPr>
          <w:rStyle w:val="eop"/>
          <w:rFonts w:ascii="Arial" w:eastAsiaTheme="majorEastAsia" w:hAnsi="Arial" w:cs="Arial"/>
        </w:rPr>
        <w:t> </w:t>
      </w:r>
    </w:p>
    <w:p w14:paraId="119CB1F7" w14:textId="77777777" w:rsidR="001074A2" w:rsidRDefault="001074A2" w:rsidP="001074A2">
      <w:pPr>
        <w:pStyle w:val="paragraph"/>
        <w:spacing w:before="0" w:beforeAutospacing="0" w:after="0" w:afterAutospacing="0"/>
        <w:ind w:right="75"/>
        <w:jc w:val="both"/>
        <w:textAlignment w:val="baseline"/>
        <w:rPr>
          <w:rFonts w:ascii="Segoe UI" w:hAnsi="Segoe UI" w:cs="Segoe UI"/>
          <w:sz w:val="18"/>
          <w:szCs w:val="18"/>
        </w:rPr>
      </w:pPr>
      <w:r>
        <w:rPr>
          <w:rStyle w:val="normaltextrun"/>
          <w:rFonts w:ascii="Arial" w:eastAsiaTheme="majorEastAsia" w:hAnsi="Arial" w:cs="Arial"/>
        </w:rPr>
        <w:t> </w:t>
      </w:r>
      <w:r>
        <w:rPr>
          <w:rStyle w:val="eop"/>
          <w:rFonts w:ascii="Arial" w:eastAsiaTheme="majorEastAsia" w:hAnsi="Arial" w:cs="Arial"/>
        </w:rPr>
        <w:t> </w:t>
      </w:r>
    </w:p>
    <w:p w14:paraId="4363FCDD"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rPr>
        <w:t>The UK Timber Frame Association publication '16 Steps to Fire Safety on Timber Frame Construction Sites' provides guidance on this issue and is available from:</w:t>
      </w:r>
      <w:r>
        <w:rPr>
          <w:rStyle w:val="eop"/>
          <w:rFonts w:ascii="Arial" w:eastAsiaTheme="majorEastAsia" w:hAnsi="Arial" w:cs="Arial"/>
        </w:rPr>
        <w:t> </w:t>
      </w:r>
    </w:p>
    <w:p w14:paraId="6DE88399"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rPr>
        <w:t> </w:t>
      </w:r>
      <w:r>
        <w:rPr>
          <w:rStyle w:val="eop"/>
          <w:rFonts w:ascii="Arial" w:eastAsiaTheme="majorEastAsia" w:hAnsi="Arial" w:cs="Arial"/>
        </w:rPr>
        <w:t> </w:t>
      </w:r>
    </w:p>
    <w:p w14:paraId="0C0D7235"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hyperlink r:id="rId6" w:tgtFrame="_blank" w:history="1">
        <w:r>
          <w:rPr>
            <w:rStyle w:val="normaltextrun"/>
            <w:rFonts w:ascii="Arial" w:eastAsiaTheme="majorEastAsia" w:hAnsi="Arial" w:cs="Arial"/>
            <w:color w:val="0000FF"/>
            <w:u w:val="single"/>
          </w:rPr>
          <w:t>https://www.structuraltimber.co.uk/wp-content/uploads/2024/01/16stepstofiresafety-3.pdf</w:t>
        </w:r>
      </w:hyperlink>
      <w:r>
        <w:rPr>
          <w:rStyle w:val="eop"/>
          <w:rFonts w:ascii="Aptos" w:eastAsiaTheme="majorEastAsia" w:hAnsi="Aptos" w:cs="Segoe UI"/>
        </w:rPr>
        <w:t> </w:t>
      </w:r>
    </w:p>
    <w:p w14:paraId="7AE304D6"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0"/>
          <w:szCs w:val="20"/>
        </w:rPr>
        <w:t> </w:t>
      </w:r>
      <w:r>
        <w:rPr>
          <w:rStyle w:val="eop"/>
          <w:rFonts w:ascii="Arial" w:eastAsiaTheme="majorEastAsia" w:hAnsi="Arial" w:cs="Arial"/>
          <w:sz w:val="20"/>
          <w:szCs w:val="20"/>
        </w:rPr>
        <w:t> </w:t>
      </w:r>
    </w:p>
    <w:p w14:paraId="723D7EAC"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rPr>
        <w:t>This guidance should be read in conjunction with the 'Joint Code of Practice on the Protection from Fire of Construction Sites and Buildings Undergoing Renovation', published by the Construction Confederation and The Fire Protection Association (Sixth Edition, ISBN 1-902790-33-2)</w:t>
      </w:r>
      <w:r>
        <w:rPr>
          <w:rStyle w:val="eop"/>
          <w:rFonts w:ascii="Arial" w:eastAsiaTheme="majorEastAsia" w:hAnsi="Arial" w:cs="Arial"/>
        </w:rPr>
        <w:t> </w:t>
      </w:r>
    </w:p>
    <w:p w14:paraId="3C319348"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rPr>
        <w:t> </w:t>
      </w:r>
      <w:r>
        <w:rPr>
          <w:rStyle w:val="eop"/>
          <w:rFonts w:ascii="Arial" w:eastAsiaTheme="majorEastAsia" w:hAnsi="Arial" w:cs="Arial"/>
        </w:rPr>
        <w:t> </w:t>
      </w:r>
    </w:p>
    <w:p w14:paraId="54EC024D"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rPr>
        <w:t>Copies of the 'Joint Codes of Practice' and useful sister publication, 'Construction Site Fire Prevention Checklist' (Second edition, ISBN 1-902790-32-4), are available for purchase from the Fire Protection Association: (</w:t>
      </w:r>
      <w:hyperlink r:id="rId7" w:tgtFrame="_blank" w:history="1">
        <w:r>
          <w:rPr>
            <w:rStyle w:val="normaltextrun"/>
            <w:rFonts w:ascii="Arial" w:eastAsiaTheme="majorEastAsia" w:hAnsi="Arial" w:cs="Arial"/>
            <w:color w:val="0000FF"/>
            <w:u w:val="single"/>
          </w:rPr>
          <w:t>www.thefpa.co.uk</w:t>
        </w:r>
      </w:hyperlink>
      <w:r>
        <w:rPr>
          <w:rStyle w:val="normaltextrun"/>
          <w:rFonts w:ascii="Arial" w:eastAsiaTheme="majorEastAsia" w:hAnsi="Arial" w:cs="Arial"/>
          <w:color w:val="0000FF"/>
          <w:u w:val="single"/>
        </w:rPr>
        <w:t xml:space="preserve"> </w:t>
      </w:r>
      <w:r>
        <w:rPr>
          <w:rStyle w:val="normaltextrun"/>
          <w:rFonts w:ascii="Arial" w:eastAsiaTheme="majorEastAsia" w:hAnsi="Arial" w:cs="Arial"/>
        </w:rPr>
        <w:t>) and from the Construction Industry Press: </w:t>
      </w:r>
      <w:r>
        <w:rPr>
          <w:rStyle w:val="eop"/>
          <w:rFonts w:ascii="Arial" w:eastAsiaTheme="majorEastAsia" w:hAnsi="Arial" w:cs="Arial"/>
        </w:rPr>
        <w:t> </w:t>
      </w:r>
    </w:p>
    <w:p w14:paraId="7D21394F" w14:textId="77777777" w:rsidR="001074A2" w:rsidRDefault="001074A2" w:rsidP="001074A2">
      <w:pPr>
        <w:pStyle w:val="paragraph"/>
        <w:spacing w:before="0" w:beforeAutospacing="0" w:after="0" w:afterAutospacing="0"/>
        <w:ind w:right="75"/>
        <w:jc w:val="both"/>
        <w:textAlignment w:val="baseline"/>
        <w:rPr>
          <w:rFonts w:ascii="Segoe UI" w:hAnsi="Segoe UI" w:cs="Segoe UI"/>
          <w:sz w:val="18"/>
          <w:szCs w:val="18"/>
        </w:rPr>
      </w:pPr>
      <w:r>
        <w:rPr>
          <w:rStyle w:val="normaltextrun"/>
          <w:rFonts w:ascii="Arial" w:eastAsiaTheme="majorEastAsia" w:hAnsi="Arial" w:cs="Arial"/>
          <w:sz w:val="20"/>
          <w:szCs w:val="20"/>
        </w:rPr>
        <w:t> </w:t>
      </w:r>
      <w:r>
        <w:rPr>
          <w:rStyle w:val="eop"/>
          <w:rFonts w:ascii="Arial" w:eastAsiaTheme="majorEastAsia" w:hAnsi="Arial" w:cs="Arial"/>
          <w:sz w:val="20"/>
          <w:szCs w:val="20"/>
        </w:rPr>
        <w:t> </w:t>
      </w:r>
    </w:p>
    <w:p w14:paraId="7EA076C5"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rPr>
        <w:t>(</w:t>
      </w:r>
      <w:hyperlink r:id="rId8" w:tgtFrame="_blank" w:history="1">
        <w:r>
          <w:rPr>
            <w:rStyle w:val="normaltextrun"/>
            <w:rFonts w:ascii="Arial" w:eastAsiaTheme="majorEastAsia" w:hAnsi="Arial" w:cs="Arial"/>
            <w:color w:val="0000FF"/>
            <w:u w:val="single"/>
          </w:rPr>
          <w:t>Publications for Construction Professionals and Builders | CIP Books</w:t>
        </w:r>
      </w:hyperlink>
      <w:r>
        <w:rPr>
          <w:rStyle w:val="normaltextrun"/>
          <w:rFonts w:ascii="Arial" w:eastAsiaTheme="majorEastAsia" w:hAnsi="Arial" w:cs="Arial"/>
        </w:rPr>
        <w:t>)</w:t>
      </w:r>
      <w:r>
        <w:rPr>
          <w:rStyle w:val="eop"/>
          <w:rFonts w:ascii="Arial" w:eastAsiaTheme="majorEastAsia" w:hAnsi="Arial" w:cs="Arial"/>
        </w:rPr>
        <w:t> </w:t>
      </w:r>
    </w:p>
    <w:p w14:paraId="6CF95322" w14:textId="77777777" w:rsidR="001074A2" w:rsidRDefault="001074A2" w:rsidP="001074A2">
      <w:pPr>
        <w:pStyle w:val="paragraph"/>
        <w:spacing w:before="0" w:beforeAutospacing="0" w:after="0" w:afterAutospacing="0"/>
        <w:jc w:val="both"/>
        <w:textAlignment w:val="baseline"/>
        <w:rPr>
          <w:rFonts w:ascii="Segoe UI" w:hAnsi="Segoe UI" w:cs="Segoe UI"/>
          <w:sz w:val="18"/>
          <w:szCs w:val="18"/>
        </w:rPr>
      </w:pPr>
      <w:r>
        <w:rPr>
          <w:rStyle w:val="eop"/>
          <w:rFonts w:ascii="Aptos" w:eastAsiaTheme="majorEastAsia" w:hAnsi="Aptos" w:cs="Segoe UI"/>
        </w:rPr>
        <w:t> </w:t>
      </w:r>
    </w:p>
    <w:p w14:paraId="79FDD9CA" w14:textId="77777777" w:rsidR="00347528" w:rsidRDefault="00347528"/>
    <w:sectPr w:rsidR="003475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434BD"/>
    <w:multiLevelType w:val="multilevel"/>
    <w:tmpl w:val="F4F05BF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8F0C29"/>
    <w:multiLevelType w:val="multilevel"/>
    <w:tmpl w:val="693E0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460E8A"/>
    <w:multiLevelType w:val="multilevel"/>
    <w:tmpl w:val="023C1DC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C423E5"/>
    <w:multiLevelType w:val="multilevel"/>
    <w:tmpl w:val="8852584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4967B31"/>
    <w:multiLevelType w:val="multilevel"/>
    <w:tmpl w:val="B59486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572762D"/>
    <w:multiLevelType w:val="multilevel"/>
    <w:tmpl w:val="F36889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35D6747"/>
    <w:multiLevelType w:val="multilevel"/>
    <w:tmpl w:val="C77EE2A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DE04E32"/>
    <w:multiLevelType w:val="multilevel"/>
    <w:tmpl w:val="4BC4F22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60487275">
    <w:abstractNumId w:val="5"/>
  </w:num>
  <w:num w:numId="2" w16cid:durableId="172258929">
    <w:abstractNumId w:val="4"/>
  </w:num>
  <w:num w:numId="3" w16cid:durableId="1985044849">
    <w:abstractNumId w:val="2"/>
  </w:num>
  <w:num w:numId="4" w16cid:durableId="1724869427">
    <w:abstractNumId w:val="1"/>
  </w:num>
  <w:num w:numId="5" w16cid:durableId="147287569">
    <w:abstractNumId w:val="6"/>
  </w:num>
  <w:num w:numId="6" w16cid:durableId="1758794738">
    <w:abstractNumId w:val="3"/>
  </w:num>
  <w:num w:numId="7" w16cid:durableId="1527214723">
    <w:abstractNumId w:val="7"/>
  </w:num>
  <w:num w:numId="8" w16cid:durableId="12292703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4A2"/>
    <w:rsid w:val="001074A2"/>
    <w:rsid w:val="002D5978"/>
    <w:rsid w:val="00347528"/>
    <w:rsid w:val="004B06F0"/>
    <w:rsid w:val="00755817"/>
    <w:rsid w:val="00984AF1"/>
    <w:rsid w:val="00F07ADC"/>
    <w:rsid w:val="00FE24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D322A"/>
  <w15:chartTrackingRefBased/>
  <w15:docId w15:val="{E192DE66-D9C7-411B-875E-1536D1779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74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74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74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74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74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74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74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74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74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74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74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74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74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74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74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74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74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74A2"/>
    <w:rPr>
      <w:rFonts w:eastAsiaTheme="majorEastAsia" w:cstheme="majorBidi"/>
      <w:color w:val="272727" w:themeColor="text1" w:themeTint="D8"/>
    </w:rPr>
  </w:style>
  <w:style w:type="paragraph" w:styleId="Title">
    <w:name w:val="Title"/>
    <w:basedOn w:val="Normal"/>
    <w:next w:val="Normal"/>
    <w:link w:val="TitleChar"/>
    <w:uiPriority w:val="10"/>
    <w:qFormat/>
    <w:rsid w:val="001074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74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74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74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74A2"/>
    <w:pPr>
      <w:spacing w:before="160"/>
      <w:jc w:val="center"/>
    </w:pPr>
    <w:rPr>
      <w:i/>
      <w:iCs/>
      <w:color w:val="404040" w:themeColor="text1" w:themeTint="BF"/>
    </w:rPr>
  </w:style>
  <w:style w:type="character" w:customStyle="1" w:styleId="QuoteChar">
    <w:name w:val="Quote Char"/>
    <w:basedOn w:val="DefaultParagraphFont"/>
    <w:link w:val="Quote"/>
    <w:uiPriority w:val="29"/>
    <w:rsid w:val="001074A2"/>
    <w:rPr>
      <w:i/>
      <w:iCs/>
      <w:color w:val="404040" w:themeColor="text1" w:themeTint="BF"/>
    </w:rPr>
  </w:style>
  <w:style w:type="paragraph" w:styleId="ListParagraph">
    <w:name w:val="List Paragraph"/>
    <w:basedOn w:val="Normal"/>
    <w:uiPriority w:val="34"/>
    <w:qFormat/>
    <w:rsid w:val="001074A2"/>
    <w:pPr>
      <w:ind w:left="720"/>
      <w:contextualSpacing/>
    </w:pPr>
  </w:style>
  <w:style w:type="character" w:styleId="IntenseEmphasis">
    <w:name w:val="Intense Emphasis"/>
    <w:basedOn w:val="DefaultParagraphFont"/>
    <w:uiPriority w:val="21"/>
    <w:qFormat/>
    <w:rsid w:val="001074A2"/>
    <w:rPr>
      <w:i/>
      <w:iCs/>
      <w:color w:val="0F4761" w:themeColor="accent1" w:themeShade="BF"/>
    </w:rPr>
  </w:style>
  <w:style w:type="paragraph" w:styleId="IntenseQuote">
    <w:name w:val="Intense Quote"/>
    <w:basedOn w:val="Normal"/>
    <w:next w:val="Normal"/>
    <w:link w:val="IntenseQuoteChar"/>
    <w:uiPriority w:val="30"/>
    <w:qFormat/>
    <w:rsid w:val="001074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74A2"/>
    <w:rPr>
      <w:i/>
      <w:iCs/>
      <w:color w:val="0F4761" w:themeColor="accent1" w:themeShade="BF"/>
    </w:rPr>
  </w:style>
  <w:style w:type="character" w:styleId="IntenseReference">
    <w:name w:val="Intense Reference"/>
    <w:basedOn w:val="DefaultParagraphFont"/>
    <w:uiPriority w:val="32"/>
    <w:qFormat/>
    <w:rsid w:val="001074A2"/>
    <w:rPr>
      <w:b/>
      <w:bCs/>
      <w:smallCaps/>
      <w:color w:val="0F4761" w:themeColor="accent1" w:themeShade="BF"/>
      <w:spacing w:val="5"/>
    </w:rPr>
  </w:style>
  <w:style w:type="paragraph" w:customStyle="1" w:styleId="paragraph">
    <w:name w:val="paragraph"/>
    <w:basedOn w:val="Normal"/>
    <w:rsid w:val="001074A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074A2"/>
  </w:style>
  <w:style w:type="character" w:customStyle="1" w:styleId="eop">
    <w:name w:val="eop"/>
    <w:basedOn w:val="DefaultParagraphFont"/>
    <w:rsid w:val="001074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1019300">
      <w:bodyDiv w:val="1"/>
      <w:marLeft w:val="0"/>
      <w:marRight w:val="0"/>
      <w:marTop w:val="0"/>
      <w:marBottom w:val="0"/>
      <w:divBdr>
        <w:top w:val="none" w:sz="0" w:space="0" w:color="auto"/>
        <w:left w:val="none" w:sz="0" w:space="0" w:color="auto"/>
        <w:bottom w:val="none" w:sz="0" w:space="0" w:color="auto"/>
        <w:right w:val="none" w:sz="0" w:space="0" w:color="auto"/>
      </w:divBdr>
      <w:divsChild>
        <w:div w:id="1954435187">
          <w:marLeft w:val="0"/>
          <w:marRight w:val="0"/>
          <w:marTop w:val="0"/>
          <w:marBottom w:val="0"/>
          <w:divBdr>
            <w:top w:val="none" w:sz="0" w:space="0" w:color="auto"/>
            <w:left w:val="none" w:sz="0" w:space="0" w:color="auto"/>
            <w:bottom w:val="none" w:sz="0" w:space="0" w:color="auto"/>
            <w:right w:val="none" w:sz="0" w:space="0" w:color="auto"/>
          </w:divBdr>
          <w:divsChild>
            <w:div w:id="2110849965">
              <w:marLeft w:val="0"/>
              <w:marRight w:val="0"/>
              <w:marTop w:val="0"/>
              <w:marBottom w:val="0"/>
              <w:divBdr>
                <w:top w:val="none" w:sz="0" w:space="0" w:color="auto"/>
                <w:left w:val="none" w:sz="0" w:space="0" w:color="auto"/>
                <w:bottom w:val="none" w:sz="0" w:space="0" w:color="auto"/>
                <w:right w:val="none" w:sz="0" w:space="0" w:color="auto"/>
              </w:divBdr>
            </w:div>
            <w:div w:id="2081445178">
              <w:marLeft w:val="0"/>
              <w:marRight w:val="0"/>
              <w:marTop w:val="0"/>
              <w:marBottom w:val="0"/>
              <w:divBdr>
                <w:top w:val="none" w:sz="0" w:space="0" w:color="auto"/>
                <w:left w:val="none" w:sz="0" w:space="0" w:color="auto"/>
                <w:bottom w:val="none" w:sz="0" w:space="0" w:color="auto"/>
                <w:right w:val="none" w:sz="0" w:space="0" w:color="auto"/>
              </w:divBdr>
            </w:div>
            <w:div w:id="617639852">
              <w:marLeft w:val="0"/>
              <w:marRight w:val="0"/>
              <w:marTop w:val="0"/>
              <w:marBottom w:val="0"/>
              <w:divBdr>
                <w:top w:val="none" w:sz="0" w:space="0" w:color="auto"/>
                <w:left w:val="none" w:sz="0" w:space="0" w:color="auto"/>
                <w:bottom w:val="none" w:sz="0" w:space="0" w:color="auto"/>
                <w:right w:val="none" w:sz="0" w:space="0" w:color="auto"/>
              </w:divBdr>
            </w:div>
            <w:div w:id="1111363761">
              <w:marLeft w:val="0"/>
              <w:marRight w:val="0"/>
              <w:marTop w:val="0"/>
              <w:marBottom w:val="0"/>
              <w:divBdr>
                <w:top w:val="none" w:sz="0" w:space="0" w:color="auto"/>
                <w:left w:val="none" w:sz="0" w:space="0" w:color="auto"/>
                <w:bottom w:val="none" w:sz="0" w:space="0" w:color="auto"/>
                <w:right w:val="none" w:sz="0" w:space="0" w:color="auto"/>
              </w:divBdr>
            </w:div>
            <w:div w:id="1345551666">
              <w:marLeft w:val="0"/>
              <w:marRight w:val="0"/>
              <w:marTop w:val="0"/>
              <w:marBottom w:val="0"/>
              <w:divBdr>
                <w:top w:val="none" w:sz="0" w:space="0" w:color="auto"/>
                <w:left w:val="none" w:sz="0" w:space="0" w:color="auto"/>
                <w:bottom w:val="none" w:sz="0" w:space="0" w:color="auto"/>
                <w:right w:val="none" w:sz="0" w:space="0" w:color="auto"/>
              </w:divBdr>
            </w:div>
            <w:div w:id="331690936">
              <w:marLeft w:val="0"/>
              <w:marRight w:val="0"/>
              <w:marTop w:val="0"/>
              <w:marBottom w:val="0"/>
              <w:divBdr>
                <w:top w:val="none" w:sz="0" w:space="0" w:color="auto"/>
                <w:left w:val="none" w:sz="0" w:space="0" w:color="auto"/>
                <w:bottom w:val="none" w:sz="0" w:space="0" w:color="auto"/>
                <w:right w:val="none" w:sz="0" w:space="0" w:color="auto"/>
              </w:divBdr>
            </w:div>
            <w:div w:id="971906305">
              <w:marLeft w:val="0"/>
              <w:marRight w:val="0"/>
              <w:marTop w:val="0"/>
              <w:marBottom w:val="0"/>
              <w:divBdr>
                <w:top w:val="none" w:sz="0" w:space="0" w:color="auto"/>
                <w:left w:val="none" w:sz="0" w:space="0" w:color="auto"/>
                <w:bottom w:val="none" w:sz="0" w:space="0" w:color="auto"/>
                <w:right w:val="none" w:sz="0" w:space="0" w:color="auto"/>
              </w:divBdr>
            </w:div>
            <w:div w:id="1169948682">
              <w:marLeft w:val="0"/>
              <w:marRight w:val="0"/>
              <w:marTop w:val="0"/>
              <w:marBottom w:val="0"/>
              <w:divBdr>
                <w:top w:val="none" w:sz="0" w:space="0" w:color="auto"/>
                <w:left w:val="none" w:sz="0" w:space="0" w:color="auto"/>
                <w:bottom w:val="none" w:sz="0" w:space="0" w:color="auto"/>
                <w:right w:val="none" w:sz="0" w:space="0" w:color="auto"/>
              </w:divBdr>
            </w:div>
            <w:div w:id="411969751">
              <w:marLeft w:val="0"/>
              <w:marRight w:val="0"/>
              <w:marTop w:val="0"/>
              <w:marBottom w:val="0"/>
              <w:divBdr>
                <w:top w:val="none" w:sz="0" w:space="0" w:color="auto"/>
                <w:left w:val="none" w:sz="0" w:space="0" w:color="auto"/>
                <w:bottom w:val="none" w:sz="0" w:space="0" w:color="auto"/>
                <w:right w:val="none" w:sz="0" w:space="0" w:color="auto"/>
              </w:divBdr>
            </w:div>
            <w:div w:id="1378898915">
              <w:marLeft w:val="0"/>
              <w:marRight w:val="0"/>
              <w:marTop w:val="0"/>
              <w:marBottom w:val="0"/>
              <w:divBdr>
                <w:top w:val="none" w:sz="0" w:space="0" w:color="auto"/>
                <w:left w:val="none" w:sz="0" w:space="0" w:color="auto"/>
                <w:bottom w:val="none" w:sz="0" w:space="0" w:color="auto"/>
                <w:right w:val="none" w:sz="0" w:space="0" w:color="auto"/>
              </w:divBdr>
            </w:div>
            <w:div w:id="1555920935">
              <w:marLeft w:val="0"/>
              <w:marRight w:val="0"/>
              <w:marTop w:val="0"/>
              <w:marBottom w:val="0"/>
              <w:divBdr>
                <w:top w:val="none" w:sz="0" w:space="0" w:color="auto"/>
                <w:left w:val="none" w:sz="0" w:space="0" w:color="auto"/>
                <w:bottom w:val="none" w:sz="0" w:space="0" w:color="auto"/>
                <w:right w:val="none" w:sz="0" w:space="0" w:color="auto"/>
              </w:divBdr>
            </w:div>
            <w:div w:id="545919813">
              <w:marLeft w:val="0"/>
              <w:marRight w:val="0"/>
              <w:marTop w:val="0"/>
              <w:marBottom w:val="0"/>
              <w:divBdr>
                <w:top w:val="none" w:sz="0" w:space="0" w:color="auto"/>
                <w:left w:val="none" w:sz="0" w:space="0" w:color="auto"/>
                <w:bottom w:val="none" w:sz="0" w:space="0" w:color="auto"/>
                <w:right w:val="none" w:sz="0" w:space="0" w:color="auto"/>
              </w:divBdr>
            </w:div>
            <w:div w:id="1471358110">
              <w:marLeft w:val="0"/>
              <w:marRight w:val="0"/>
              <w:marTop w:val="0"/>
              <w:marBottom w:val="0"/>
              <w:divBdr>
                <w:top w:val="none" w:sz="0" w:space="0" w:color="auto"/>
                <w:left w:val="none" w:sz="0" w:space="0" w:color="auto"/>
                <w:bottom w:val="none" w:sz="0" w:space="0" w:color="auto"/>
                <w:right w:val="none" w:sz="0" w:space="0" w:color="auto"/>
              </w:divBdr>
            </w:div>
            <w:div w:id="271859053">
              <w:marLeft w:val="0"/>
              <w:marRight w:val="0"/>
              <w:marTop w:val="0"/>
              <w:marBottom w:val="0"/>
              <w:divBdr>
                <w:top w:val="none" w:sz="0" w:space="0" w:color="auto"/>
                <w:left w:val="none" w:sz="0" w:space="0" w:color="auto"/>
                <w:bottom w:val="none" w:sz="0" w:space="0" w:color="auto"/>
                <w:right w:val="none" w:sz="0" w:space="0" w:color="auto"/>
              </w:divBdr>
            </w:div>
            <w:div w:id="103156197">
              <w:marLeft w:val="0"/>
              <w:marRight w:val="0"/>
              <w:marTop w:val="0"/>
              <w:marBottom w:val="0"/>
              <w:divBdr>
                <w:top w:val="none" w:sz="0" w:space="0" w:color="auto"/>
                <w:left w:val="none" w:sz="0" w:space="0" w:color="auto"/>
                <w:bottom w:val="none" w:sz="0" w:space="0" w:color="auto"/>
                <w:right w:val="none" w:sz="0" w:space="0" w:color="auto"/>
              </w:divBdr>
            </w:div>
            <w:div w:id="1560088302">
              <w:marLeft w:val="0"/>
              <w:marRight w:val="0"/>
              <w:marTop w:val="0"/>
              <w:marBottom w:val="0"/>
              <w:divBdr>
                <w:top w:val="none" w:sz="0" w:space="0" w:color="auto"/>
                <w:left w:val="none" w:sz="0" w:space="0" w:color="auto"/>
                <w:bottom w:val="none" w:sz="0" w:space="0" w:color="auto"/>
                <w:right w:val="none" w:sz="0" w:space="0" w:color="auto"/>
              </w:divBdr>
            </w:div>
            <w:div w:id="1401901152">
              <w:marLeft w:val="0"/>
              <w:marRight w:val="0"/>
              <w:marTop w:val="0"/>
              <w:marBottom w:val="0"/>
              <w:divBdr>
                <w:top w:val="none" w:sz="0" w:space="0" w:color="auto"/>
                <w:left w:val="none" w:sz="0" w:space="0" w:color="auto"/>
                <w:bottom w:val="none" w:sz="0" w:space="0" w:color="auto"/>
                <w:right w:val="none" w:sz="0" w:space="0" w:color="auto"/>
              </w:divBdr>
            </w:div>
            <w:div w:id="1834757757">
              <w:marLeft w:val="0"/>
              <w:marRight w:val="0"/>
              <w:marTop w:val="0"/>
              <w:marBottom w:val="0"/>
              <w:divBdr>
                <w:top w:val="none" w:sz="0" w:space="0" w:color="auto"/>
                <w:left w:val="none" w:sz="0" w:space="0" w:color="auto"/>
                <w:bottom w:val="none" w:sz="0" w:space="0" w:color="auto"/>
                <w:right w:val="none" w:sz="0" w:space="0" w:color="auto"/>
              </w:divBdr>
            </w:div>
            <w:div w:id="1832720202">
              <w:marLeft w:val="0"/>
              <w:marRight w:val="0"/>
              <w:marTop w:val="0"/>
              <w:marBottom w:val="0"/>
              <w:divBdr>
                <w:top w:val="none" w:sz="0" w:space="0" w:color="auto"/>
                <w:left w:val="none" w:sz="0" w:space="0" w:color="auto"/>
                <w:bottom w:val="none" w:sz="0" w:space="0" w:color="auto"/>
                <w:right w:val="none" w:sz="0" w:space="0" w:color="auto"/>
              </w:divBdr>
            </w:div>
            <w:div w:id="384836350">
              <w:marLeft w:val="0"/>
              <w:marRight w:val="0"/>
              <w:marTop w:val="0"/>
              <w:marBottom w:val="0"/>
              <w:divBdr>
                <w:top w:val="none" w:sz="0" w:space="0" w:color="auto"/>
                <w:left w:val="none" w:sz="0" w:space="0" w:color="auto"/>
                <w:bottom w:val="none" w:sz="0" w:space="0" w:color="auto"/>
                <w:right w:val="none" w:sz="0" w:space="0" w:color="auto"/>
              </w:divBdr>
            </w:div>
          </w:divsChild>
        </w:div>
        <w:div w:id="1907908080">
          <w:marLeft w:val="0"/>
          <w:marRight w:val="0"/>
          <w:marTop w:val="0"/>
          <w:marBottom w:val="0"/>
          <w:divBdr>
            <w:top w:val="none" w:sz="0" w:space="0" w:color="auto"/>
            <w:left w:val="none" w:sz="0" w:space="0" w:color="auto"/>
            <w:bottom w:val="none" w:sz="0" w:space="0" w:color="auto"/>
            <w:right w:val="none" w:sz="0" w:space="0" w:color="auto"/>
          </w:divBdr>
        </w:div>
        <w:div w:id="1505782670">
          <w:marLeft w:val="0"/>
          <w:marRight w:val="0"/>
          <w:marTop w:val="0"/>
          <w:marBottom w:val="0"/>
          <w:divBdr>
            <w:top w:val="none" w:sz="0" w:space="0" w:color="auto"/>
            <w:left w:val="none" w:sz="0" w:space="0" w:color="auto"/>
            <w:bottom w:val="none" w:sz="0" w:space="0" w:color="auto"/>
            <w:right w:val="none" w:sz="0" w:space="0" w:color="auto"/>
          </w:divBdr>
        </w:div>
        <w:div w:id="1293362466">
          <w:marLeft w:val="0"/>
          <w:marRight w:val="0"/>
          <w:marTop w:val="0"/>
          <w:marBottom w:val="0"/>
          <w:divBdr>
            <w:top w:val="none" w:sz="0" w:space="0" w:color="auto"/>
            <w:left w:val="none" w:sz="0" w:space="0" w:color="auto"/>
            <w:bottom w:val="none" w:sz="0" w:space="0" w:color="auto"/>
            <w:right w:val="none" w:sz="0" w:space="0" w:color="auto"/>
          </w:divBdr>
        </w:div>
        <w:div w:id="522210562">
          <w:marLeft w:val="0"/>
          <w:marRight w:val="0"/>
          <w:marTop w:val="0"/>
          <w:marBottom w:val="0"/>
          <w:divBdr>
            <w:top w:val="none" w:sz="0" w:space="0" w:color="auto"/>
            <w:left w:val="none" w:sz="0" w:space="0" w:color="auto"/>
            <w:bottom w:val="none" w:sz="0" w:space="0" w:color="auto"/>
            <w:right w:val="none" w:sz="0" w:space="0" w:color="auto"/>
          </w:divBdr>
        </w:div>
        <w:div w:id="1763836660">
          <w:marLeft w:val="0"/>
          <w:marRight w:val="0"/>
          <w:marTop w:val="0"/>
          <w:marBottom w:val="0"/>
          <w:divBdr>
            <w:top w:val="none" w:sz="0" w:space="0" w:color="auto"/>
            <w:left w:val="none" w:sz="0" w:space="0" w:color="auto"/>
            <w:bottom w:val="none" w:sz="0" w:space="0" w:color="auto"/>
            <w:right w:val="none" w:sz="0" w:space="0" w:color="auto"/>
          </w:divBdr>
        </w:div>
        <w:div w:id="1654220079">
          <w:marLeft w:val="0"/>
          <w:marRight w:val="0"/>
          <w:marTop w:val="0"/>
          <w:marBottom w:val="0"/>
          <w:divBdr>
            <w:top w:val="none" w:sz="0" w:space="0" w:color="auto"/>
            <w:left w:val="none" w:sz="0" w:space="0" w:color="auto"/>
            <w:bottom w:val="none" w:sz="0" w:space="0" w:color="auto"/>
            <w:right w:val="none" w:sz="0" w:space="0" w:color="auto"/>
          </w:divBdr>
        </w:div>
        <w:div w:id="1771850365">
          <w:marLeft w:val="0"/>
          <w:marRight w:val="0"/>
          <w:marTop w:val="0"/>
          <w:marBottom w:val="0"/>
          <w:divBdr>
            <w:top w:val="none" w:sz="0" w:space="0" w:color="auto"/>
            <w:left w:val="none" w:sz="0" w:space="0" w:color="auto"/>
            <w:bottom w:val="none" w:sz="0" w:space="0" w:color="auto"/>
            <w:right w:val="none" w:sz="0" w:space="0" w:color="auto"/>
          </w:divBdr>
        </w:div>
        <w:div w:id="1316568918">
          <w:marLeft w:val="0"/>
          <w:marRight w:val="0"/>
          <w:marTop w:val="0"/>
          <w:marBottom w:val="0"/>
          <w:divBdr>
            <w:top w:val="none" w:sz="0" w:space="0" w:color="auto"/>
            <w:left w:val="none" w:sz="0" w:space="0" w:color="auto"/>
            <w:bottom w:val="none" w:sz="0" w:space="0" w:color="auto"/>
            <w:right w:val="none" w:sz="0" w:space="0" w:color="auto"/>
          </w:divBdr>
        </w:div>
        <w:div w:id="1397318504">
          <w:marLeft w:val="0"/>
          <w:marRight w:val="0"/>
          <w:marTop w:val="0"/>
          <w:marBottom w:val="0"/>
          <w:divBdr>
            <w:top w:val="none" w:sz="0" w:space="0" w:color="auto"/>
            <w:left w:val="none" w:sz="0" w:space="0" w:color="auto"/>
            <w:bottom w:val="none" w:sz="0" w:space="0" w:color="auto"/>
            <w:right w:val="none" w:sz="0" w:space="0" w:color="auto"/>
          </w:divBdr>
        </w:div>
        <w:div w:id="1044670514">
          <w:marLeft w:val="0"/>
          <w:marRight w:val="0"/>
          <w:marTop w:val="0"/>
          <w:marBottom w:val="0"/>
          <w:divBdr>
            <w:top w:val="none" w:sz="0" w:space="0" w:color="auto"/>
            <w:left w:val="none" w:sz="0" w:space="0" w:color="auto"/>
            <w:bottom w:val="none" w:sz="0" w:space="0" w:color="auto"/>
            <w:right w:val="none" w:sz="0" w:space="0" w:color="auto"/>
          </w:divBdr>
        </w:div>
        <w:div w:id="2089188259">
          <w:marLeft w:val="0"/>
          <w:marRight w:val="0"/>
          <w:marTop w:val="0"/>
          <w:marBottom w:val="0"/>
          <w:divBdr>
            <w:top w:val="none" w:sz="0" w:space="0" w:color="auto"/>
            <w:left w:val="none" w:sz="0" w:space="0" w:color="auto"/>
            <w:bottom w:val="none" w:sz="0" w:space="0" w:color="auto"/>
            <w:right w:val="none" w:sz="0" w:space="0" w:color="auto"/>
          </w:divBdr>
        </w:div>
        <w:div w:id="1283924470">
          <w:marLeft w:val="0"/>
          <w:marRight w:val="0"/>
          <w:marTop w:val="0"/>
          <w:marBottom w:val="0"/>
          <w:divBdr>
            <w:top w:val="none" w:sz="0" w:space="0" w:color="auto"/>
            <w:left w:val="none" w:sz="0" w:space="0" w:color="auto"/>
            <w:bottom w:val="none" w:sz="0" w:space="0" w:color="auto"/>
            <w:right w:val="none" w:sz="0" w:space="0" w:color="auto"/>
          </w:divBdr>
        </w:div>
        <w:div w:id="1884361901">
          <w:marLeft w:val="0"/>
          <w:marRight w:val="0"/>
          <w:marTop w:val="0"/>
          <w:marBottom w:val="0"/>
          <w:divBdr>
            <w:top w:val="none" w:sz="0" w:space="0" w:color="auto"/>
            <w:left w:val="none" w:sz="0" w:space="0" w:color="auto"/>
            <w:bottom w:val="none" w:sz="0" w:space="0" w:color="auto"/>
            <w:right w:val="none" w:sz="0" w:space="0" w:color="auto"/>
          </w:divBdr>
        </w:div>
        <w:div w:id="738673114">
          <w:marLeft w:val="0"/>
          <w:marRight w:val="0"/>
          <w:marTop w:val="0"/>
          <w:marBottom w:val="0"/>
          <w:divBdr>
            <w:top w:val="none" w:sz="0" w:space="0" w:color="auto"/>
            <w:left w:val="none" w:sz="0" w:space="0" w:color="auto"/>
            <w:bottom w:val="none" w:sz="0" w:space="0" w:color="auto"/>
            <w:right w:val="none" w:sz="0" w:space="0" w:color="auto"/>
          </w:divBdr>
        </w:div>
        <w:div w:id="1920677525">
          <w:marLeft w:val="0"/>
          <w:marRight w:val="0"/>
          <w:marTop w:val="0"/>
          <w:marBottom w:val="0"/>
          <w:divBdr>
            <w:top w:val="none" w:sz="0" w:space="0" w:color="auto"/>
            <w:left w:val="none" w:sz="0" w:space="0" w:color="auto"/>
            <w:bottom w:val="none" w:sz="0" w:space="0" w:color="auto"/>
            <w:right w:val="none" w:sz="0" w:space="0" w:color="auto"/>
          </w:divBdr>
        </w:div>
        <w:div w:id="43257011">
          <w:marLeft w:val="0"/>
          <w:marRight w:val="0"/>
          <w:marTop w:val="0"/>
          <w:marBottom w:val="0"/>
          <w:divBdr>
            <w:top w:val="none" w:sz="0" w:space="0" w:color="auto"/>
            <w:left w:val="none" w:sz="0" w:space="0" w:color="auto"/>
            <w:bottom w:val="none" w:sz="0" w:space="0" w:color="auto"/>
            <w:right w:val="none" w:sz="0" w:space="0" w:color="auto"/>
          </w:divBdr>
        </w:div>
        <w:div w:id="933560787">
          <w:marLeft w:val="0"/>
          <w:marRight w:val="0"/>
          <w:marTop w:val="0"/>
          <w:marBottom w:val="0"/>
          <w:divBdr>
            <w:top w:val="none" w:sz="0" w:space="0" w:color="auto"/>
            <w:left w:val="none" w:sz="0" w:space="0" w:color="auto"/>
            <w:bottom w:val="none" w:sz="0" w:space="0" w:color="auto"/>
            <w:right w:val="none" w:sz="0" w:space="0" w:color="auto"/>
          </w:divBdr>
        </w:div>
        <w:div w:id="2002343982">
          <w:marLeft w:val="0"/>
          <w:marRight w:val="0"/>
          <w:marTop w:val="0"/>
          <w:marBottom w:val="0"/>
          <w:divBdr>
            <w:top w:val="none" w:sz="0" w:space="0" w:color="auto"/>
            <w:left w:val="none" w:sz="0" w:space="0" w:color="auto"/>
            <w:bottom w:val="none" w:sz="0" w:space="0" w:color="auto"/>
            <w:right w:val="none" w:sz="0" w:space="0" w:color="auto"/>
          </w:divBdr>
        </w:div>
        <w:div w:id="75325039">
          <w:marLeft w:val="0"/>
          <w:marRight w:val="0"/>
          <w:marTop w:val="0"/>
          <w:marBottom w:val="0"/>
          <w:divBdr>
            <w:top w:val="none" w:sz="0" w:space="0" w:color="auto"/>
            <w:left w:val="none" w:sz="0" w:space="0" w:color="auto"/>
            <w:bottom w:val="none" w:sz="0" w:space="0" w:color="auto"/>
            <w:right w:val="none" w:sz="0" w:space="0" w:color="auto"/>
          </w:divBdr>
        </w:div>
        <w:div w:id="1616710605">
          <w:marLeft w:val="0"/>
          <w:marRight w:val="0"/>
          <w:marTop w:val="0"/>
          <w:marBottom w:val="0"/>
          <w:divBdr>
            <w:top w:val="none" w:sz="0" w:space="0" w:color="auto"/>
            <w:left w:val="none" w:sz="0" w:space="0" w:color="auto"/>
            <w:bottom w:val="none" w:sz="0" w:space="0" w:color="auto"/>
            <w:right w:val="none" w:sz="0" w:space="0" w:color="auto"/>
          </w:divBdr>
        </w:div>
        <w:div w:id="819544791">
          <w:marLeft w:val="0"/>
          <w:marRight w:val="0"/>
          <w:marTop w:val="0"/>
          <w:marBottom w:val="0"/>
          <w:divBdr>
            <w:top w:val="none" w:sz="0" w:space="0" w:color="auto"/>
            <w:left w:val="none" w:sz="0" w:space="0" w:color="auto"/>
            <w:bottom w:val="none" w:sz="0" w:space="0" w:color="auto"/>
            <w:right w:val="none" w:sz="0" w:space="0" w:color="auto"/>
          </w:divBdr>
        </w:div>
        <w:div w:id="1375427428">
          <w:marLeft w:val="0"/>
          <w:marRight w:val="0"/>
          <w:marTop w:val="0"/>
          <w:marBottom w:val="0"/>
          <w:divBdr>
            <w:top w:val="none" w:sz="0" w:space="0" w:color="auto"/>
            <w:left w:val="none" w:sz="0" w:space="0" w:color="auto"/>
            <w:bottom w:val="none" w:sz="0" w:space="0" w:color="auto"/>
            <w:right w:val="none" w:sz="0" w:space="0" w:color="auto"/>
          </w:divBdr>
        </w:div>
        <w:div w:id="851147336">
          <w:marLeft w:val="0"/>
          <w:marRight w:val="0"/>
          <w:marTop w:val="0"/>
          <w:marBottom w:val="0"/>
          <w:divBdr>
            <w:top w:val="none" w:sz="0" w:space="0" w:color="auto"/>
            <w:left w:val="none" w:sz="0" w:space="0" w:color="auto"/>
            <w:bottom w:val="none" w:sz="0" w:space="0" w:color="auto"/>
            <w:right w:val="none" w:sz="0" w:space="0" w:color="auto"/>
          </w:divBdr>
        </w:div>
        <w:div w:id="1175725015">
          <w:marLeft w:val="0"/>
          <w:marRight w:val="0"/>
          <w:marTop w:val="0"/>
          <w:marBottom w:val="0"/>
          <w:divBdr>
            <w:top w:val="none" w:sz="0" w:space="0" w:color="auto"/>
            <w:left w:val="none" w:sz="0" w:space="0" w:color="auto"/>
            <w:bottom w:val="none" w:sz="0" w:space="0" w:color="auto"/>
            <w:right w:val="none" w:sz="0" w:space="0" w:color="auto"/>
          </w:divBdr>
        </w:div>
        <w:div w:id="16392630">
          <w:marLeft w:val="0"/>
          <w:marRight w:val="0"/>
          <w:marTop w:val="0"/>
          <w:marBottom w:val="0"/>
          <w:divBdr>
            <w:top w:val="none" w:sz="0" w:space="0" w:color="auto"/>
            <w:left w:val="none" w:sz="0" w:space="0" w:color="auto"/>
            <w:bottom w:val="none" w:sz="0" w:space="0" w:color="auto"/>
            <w:right w:val="none" w:sz="0" w:space="0" w:color="auto"/>
          </w:divBdr>
        </w:div>
        <w:div w:id="1170681902">
          <w:marLeft w:val="0"/>
          <w:marRight w:val="0"/>
          <w:marTop w:val="0"/>
          <w:marBottom w:val="0"/>
          <w:divBdr>
            <w:top w:val="none" w:sz="0" w:space="0" w:color="auto"/>
            <w:left w:val="none" w:sz="0" w:space="0" w:color="auto"/>
            <w:bottom w:val="none" w:sz="0" w:space="0" w:color="auto"/>
            <w:right w:val="none" w:sz="0" w:space="0" w:color="auto"/>
          </w:divBdr>
        </w:div>
        <w:div w:id="1653218706">
          <w:marLeft w:val="0"/>
          <w:marRight w:val="0"/>
          <w:marTop w:val="0"/>
          <w:marBottom w:val="0"/>
          <w:divBdr>
            <w:top w:val="none" w:sz="0" w:space="0" w:color="auto"/>
            <w:left w:val="none" w:sz="0" w:space="0" w:color="auto"/>
            <w:bottom w:val="none" w:sz="0" w:space="0" w:color="auto"/>
            <w:right w:val="none" w:sz="0" w:space="0" w:color="auto"/>
          </w:divBdr>
        </w:div>
        <w:div w:id="2139570790">
          <w:marLeft w:val="0"/>
          <w:marRight w:val="0"/>
          <w:marTop w:val="0"/>
          <w:marBottom w:val="0"/>
          <w:divBdr>
            <w:top w:val="none" w:sz="0" w:space="0" w:color="auto"/>
            <w:left w:val="none" w:sz="0" w:space="0" w:color="auto"/>
            <w:bottom w:val="none" w:sz="0" w:space="0" w:color="auto"/>
            <w:right w:val="none" w:sz="0" w:space="0" w:color="auto"/>
          </w:divBdr>
        </w:div>
        <w:div w:id="1744256808">
          <w:marLeft w:val="0"/>
          <w:marRight w:val="0"/>
          <w:marTop w:val="0"/>
          <w:marBottom w:val="0"/>
          <w:divBdr>
            <w:top w:val="none" w:sz="0" w:space="0" w:color="auto"/>
            <w:left w:val="none" w:sz="0" w:space="0" w:color="auto"/>
            <w:bottom w:val="none" w:sz="0" w:space="0" w:color="auto"/>
            <w:right w:val="none" w:sz="0" w:space="0" w:color="auto"/>
          </w:divBdr>
        </w:div>
        <w:div w:id="1800033451">
          <w:marLeft w:val="0"/>
          <w:marRight w:val="0"/>
          <w:marTop w:val="0"/>
          <w:marBottom w:val="0"/>
          <w:divBdr>
            <w:top w:val="none" w:sz="0" w:space="0" w:color="auto"/>
            <w:left w:val="none" w:sz="0" w:space="0" w:color="auto"/>
            <w:bottom w:val="none" w:sz="0" w:space="0" w:color="auto"/>
            <w:right w:val="none" w:sz="0" w:space="0" w:color="auto"/>
          </w:divBdr>
        </w:div>
        <w:div w:id="1089886952">
          <w:marLeft w:val="0"/>
          <w:marRight w:val="0"/>
          <w:marTop w:val="0"/>
          <w:marBottom w:val="0"/>
          <w:divBdr>
            <w:top w:val="none" w:sz="0" w:space="0" w:color="auto"/>
            <w:left w:val="none" w:sz="0" w:space="0" w:color="auto"/>
            <w:bottom w:val="none" w:sz="0" w:space="0" w:color="auto"/>
            <w:right w:val="none" w:sz="0" w:space="0" w:color="auto"/>
          </w:divBdr>
        </w:div>
        <w:div w:id="648167888">
          <w:marLeft w:val="0"/>
          <w:marRight w:val="0"/>
          <w:marTop w:val="0"/>
          <w:marBottom w:val="0"/>
          <w:divBdr>
            <w:top w:val="none" w:sz="0" w:space="0" w:color="auto"/>
            <w:left w:val="none" w:sz="0" w:space="0" w:color="auto"/>
            <w:bottom w:val="none" w:sz="0" w:space="0" w:color="auto"/>
            <w:right w:val="none" w:sz="0" w:space="0" w:color="auto"/>
          </w:divBdr>
        </w:div>
        <w:div w:id="1481145406">
          <w:marLeft w:val="0"/>
          <w:marRight w:val="0"/>
          <w:marTop w:val="0"/>
          <w:marBottom w:val="0"/>
          <w:divBdr>
            <w:top w:val="none" w:sz="0" w:space="0" w:color="auto"/>
            <w:left w:val="none" w:sz="0" w:space="0" w:color="auto"/>
            <w:bottom w:val="none" w:sz="0" w:space="0" w:color="auto"/>
            <w:right w:val="none" w:sz="0" w:space="0" w:color="auto"/>
          </w:divBdr>
        </w:div>
        <w:div w:id="291442456">
          <w:marLeft w:val="0"/>
          <w:marRight w:val="0"/>
          <w:marTop w:val="0"/>
          <w:marBottom w:val="0"/>
          <w:divBdr>
            <w:top w:val="none" w:sz="0" w:space="0" w:color="auto"/>
            <w:left w:val="none" w:sz="0" w:space="0" w:color="auto"/>
            <w:bottom w:val="none" w:sz="0" w:space="0" w:color="auto"/>
            <w:right w:val="none" w:sz="0" w:space="0" w:color="auto"/>
          </w:divBdr>
        </w:div>
        <w:div w:id="513687441">
          <w:marLeft w:val="0"/>
          <w:marRight w:val="0"/>
          <w:marTop w:val="0"/>
          <w:marBottom w:val="0"/>
          <w:divBdr>
            <w:top w:val="none" w:sz="0" w:space="0" w:color="auto"/>
            <w:left w:val="none" w:sz="0" w:space="0" w:color="auto"/>
            <w:bottom w:val="none" w:sz="0" w:space="0" w:color="auto"/>
            <w:right w:val="none" w:sz="0" w:space="0" w:color="auto"/>
          </w:divBdr>
        </w:div>
        <w:div w:id="1189758636">
          <w:marLeft w:val="0"/>
          <w:marRight w:val="0"/>
          <w:marTop w:val="0"/>
          <w:marBottom w:val="0"/>
          <w:divBdr>
            <w:top w:val="none" w:sz="0" w:space="0" w:color="auto"/>
            <w:left w:val="none" w:sz="0" w:space="0" w:color="auto"/>
            <w:bottom w:val="none" w:sz="0" w:space="0" w:color="auto"/>
            <w:right w:val="none" w:sz="0" w:space="0" w:color="auto"/>
          </w:divBdr>
        </w:div>
        <w:div w:id="1280069882">
          <w:marLeft w:val="0"/>
          <w:marRight w:val="0"/>
          <w:marTop w:val="0"/>
          <w:marBottom w:val="0"/>
          <w:divBdr>
            <w:top w:val="none" w:sz="0" w:space="0" w:color="auto"/>
            <w:left w:val="none" w:sz="0" w:space="0" w:color="auto"/>
            <w:bottom w:val="none" w:sz="0" w:space="0" w:color="auto"/>
            <w:right w:val="none" w:sz="0" w:space="0" w:color="auto"/>
          </w:divBdr>
        </w:div>
        <w:div w:id="500199289">
          <w:marLeft w:val="0"/>
          <w:marRight w:val="0"/>
          <w:marTop w:val="0"/>
          <w:marBottom w:val="0"/>
          <w:divBdr>
            <w:top w:val="none" w:sz="0" w:space="0" w:color="auto"/>
            <w:left w:val="none" w:sz="0" w:space="0" w:color="auto"/>
            <w:bottom w:val="none" w:sz="0" w:space="0" w:color="auto"/>
            <w:right w:val="none" w:sz="0" w:space="0" w:color="auto"/>
          </w:divBdr>
        </w:div>
        <w:div w:id="341668669">
          <w:marLeft w:val="0"/>
          <w:marRight w:val="0"/>
          <w:marTop w:val="0"/>
          <w:marBottom w:val="0"/>
          <w:divBdr>
            <w:top w:val="none" w:sz="0" w:space="0" w:color="auto"/>
            <w:left w:val="none" w:sz="0" w:space="0" w:color="auto"/>
            <w:bottom w:val="none" w:sz="0" w:space="0" w:color="auto"/>
            <w:right w:val="none" w:sz="0" w:space="0" w:color="auto"/>
          </w:divBdr>
        </w:div>
        <w:div w:id="661010464">
          <w:marLeft w:val="0"/>
          <w:marRight w:val="0"/>
          <w:marTop w:val="0"/>
          <w:marBottom w:val="0"/>
          <w:divBdr>
            <w:top w:val="none" w:sz="0" w:space="0" w:color="auto"/>
            <w:left w:val="none" w:sz="0" w:space="0" w:color="auto"/>
            <w:bottom w:val="none" w:sz="0" w:space="0" w:color="auto"/>
            <w:right w:val="none" w:sz="0" w:space="0" w:color="auto"/>
          </w:divBdr>
        </w:div>
        <w:div w:id="946429417">
          <w:marLeft w:val="0"/>
          <w:marRight w:val="0"/>
          <w:marTop w:val="0"/>
          <w:marBottom w:val="0"/>
          <w:divBdr>
            <w:top w:val="none" w:sz="0" w:space="0" w:color="auto"/>
            <w:left w:val="none" w:sz="0" w:space="0" w:color="auto"/>
            <w:bottom w:val="none" w:sz="0" w:space="0" w:color="auto"/>
            <w:right w:val="none" w:sz="0" w:space="0" w:color="auto"/>
          </w:divBdr>
        </w:div>
        <w:div w:id="1727334910">
          <w:marLeft w:val="0"/>
          <w:marRight w:val="0"/>
          <w:marTop w:val="0"/>
          <w:marBottom w:val="0"/>
          <w:divBdr>
            <w:top w:val="none" w:sz="0" w:space="0" w:color="auto"/>
            <w:left w:val="none" w:sz="0" w:space="0" w:color="auto"/>
            <w:bottom w:val="none" w:sz="0" w:space="0" w:color="auto"/>
            <w:right w:val="none" w:sz="0" w:space="0" w:color="auto"/>
          </w:divBdr>
        </w:div>
        <w:div w:id="1848514865">
          <w:marLeft w:val="0"/>
          <w:marRight w:val="0"/>
          <w:marTop w:val="0"/>
          <w:marBottom w:val="0"/>
          <w:divBdr>
            <w:top w:val="none" w:sz="0" w:space="0" w:color="auto"/>
            <w:left w:val="none" w:sz="0" w:space="0" w:color="auto"/>
            <w:bottom w:val="none" w:sz="0" w:space="0" w:color="auto"/>
            <w:right w:val="none" w:sz="0" w:space="0" w:color="auto"/>
          </w:divBdr>
        </w:div>
        <w:div w:id="2095933349">
          <w:marLeft w:val="0"/>
          <w:marRight w:val="0"/>
          <w:marTop w:val="0"/>
          <w:marBottom w:val="0"/>
          <w:divBdr>
            <w:top w:val="none" w:sz="0" w:space="0" w:color="auto"/>
            <w:left w:val="none" w:sz="0" w:space="0" w:color="auto"/>
            <w:bottom w:val="none" w:sz="0" w:space="0" w:color="auto"/>
            <w:right w:val="none" w:sz="0" w:space="0" w:color="auto"/>
          </w:divBdr>
        </w:div>
        <w:div w:id="1234466495">
          <w:marLeft w:val="0"/>
          <w:marRight w:val="0"/>
          <w:marTop w:val="0"/>
          <w:marBottom w:val="0"/>
          <w:divBdr>
            <w:top w:val="none" w:sz="0" w:space="0" w:color="auto"/>
            <w:left w:val="none" w:sz="0" w:space="0" w:color="auto"/>
            <w:bottom w:val="none" w:sz="0" w:space="0" w:color="auto"/>
            <w:right w:val="none" w:sz="0" w:space="0" w:color="auto"/>
          </w:divBdr>
        </w:div>
        <w:div w:id="846865384">
          <w:marLeft w:val="0"/>
          <w:marRight w:val="0"/>
          <w:marTop w:val="0"/>
          <w:marBottom w:val="0"/>
          <w:divBdr>
            <w:top w:val="none" w:sz="0" w:space="0" w:color="auto"/>
            <w:left w:val="none" w:sz="0" w:space="0" w:color="auto"/>
            <w:bottom w:val="none" w:sz="0" w:space="0" w:color="auto"/>
            <w:right w:val="none" w:sz="0" w:space="0" w:color="auto"/>
          </w:divBdr>
        </w:div>
        <w:div w:id="2113159793">
          <w:marLeft w:val="0"/>
          <w:marRight w:val="0"/>
          <w:marTop w:val="0"/>
          <w:marBottom w:val="0"/>
          <w:divBdr>
            <w:top w:val="none" w:sz="0" w:space="0" w:color="auto"/>
            <w:left w:val="none" w:sz="0" w:space="0" w:color="auto"/>
            <w:bottom w:val="none" w:sz="0" w:space="0" w:color="auto"/>
            <w:right w:val="none" w:sz="0" w:space="0" w:color="auto"/>
          </w:divBdr>
        </w:div>
        <w:div w:id="2130199598">
          <w:marLeft w:val="0"/>
          <w:marRight w:val="0"/>
          <w:marTop w:val="0"/>
          <w:marBottom w:val="0"/>
          <w:divBdr>
            <w:top w:val="none" w:sz="0" w:space="0" w:color="auto"/>
            <w:left w:val="none" w:sz="0" w:space="0" w:color="auto"/>
            <w:bottom w:val="none" w:sz="0" w:space="0" w:color="auto"/>
            <w:right w:val="none" w:sz="0" w:space="0" w:color="auto"/>
          </w:divBdr>
        </w:div>
        <w:div w:id="871382671">
          <w:marLeft w:val="0"/>
          <w:marRight w:val="0"/>
          <w:marTop w:val="0"/>
          <w:marBottom w:val="0"/>
          <w:divBdr>
            <w:top w:val="none" w:sz="0" w:space="0" w:color="auto"/>
            <w:left w:val="none" w:sz="0" w:space="0" w:color="auto"/>
            <w:bottom w:val="none" w:sz="0" w:space="0" w:color="auto"/>
            <w:right w:val="none" w:sz="0" w:space="0" w:color="auto"/>
          </w:divBdr>
        </w:div>
        <w:div w:id="99767753">
          <w:marLeft w:val="0"/>
          <w:marRight w:val="0"/>
          <w:marTop w:val="0"/>
          <w:marBottom w:val="0"/>
          <w:divBdr>
            <w:top w:val="none" w:sz="0" w:space="0" w:color="auto"/>
            <w:left w:val="none" w:sz="0" w:space="0" w:color="auto"/>
            <w:bottom w:val="none" w:sz="0" w:space="0" w:color="auto"/>
            <w:right w:val="none" w:sz="0" w:space="0" w:color="auto"/>
          </w:divBdr>
        </w:div>
        <w:div w:id="4660455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p-books.com/" TargetMode="External"/><Relationship Id="rId3" Type="http://schemas.openxmlformats.org/officeDocument/2006/relationships/settings" Target="settings.xml"/><Relationship Id="rId7" Type="http://schemas.openxmlformats.org/officeDocument/2006/relationships/hyperlink" Target="https://www.thefpa.co.uk/fpa_ho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tructuraltimber.co.uk/wp-content/uploads/2024/01/16stepstofiresafety-3.pdf" TargetMode="External"/><Relationship Id="rId5" Type="http://schemas.openxmlformats.org/officeDocument/2006/relationships/hyperlink" Target="mailto:hydrants@hantsfire.gov.u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612</Words>
  <Characters>3494</Characters>
  <Application>Microsoft Office Word</Application>
  <DocSecurity>0</DocSecurity>
  <Lines>29</Lines>
  <Paragraphs>8</Paragraphs>
  <ScaleCrop>false</ScaleCrop>
  <Company/>
  <LinksUpToDate>false</LinksUpToDate>
  <CharactersWithSpaces>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Walker</dc:creator>
  <cp:keywords/>
  <dc:description/>
  <cp:lastModifiedBy>Emily Stenlake</cp:lastModifiedBy>
  <cp:revision>3</cp:revision>
  <dcterms:created xsi:type="dcterms:W3CDTF">2026-08-04T08:52:00Z</dcterms:created>
  <dcterms:modified xsi:type="dcterms:W3CDTF">2026-08-04T09:36:00Z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74b79e-0b12-4022-a0b6-3829b61a9aaa_Enabled">
    <vt:lpwstr>true</vt:lpwstr>
  </property>
  <property fmtid="{D5CDD505-2E9C-101B-9397-08002B2CF9AE}" pid="3" name="MSIP_Label_0374b79e-0b12-4022-a0b6-3829b61a9aaa_SetDate">
    <vt:lpwstr>2025-05-28T08:38:26Z</vt:lpwstr>
  </property>
  <property fmtid="{D5CDD505-2E9C-101B-9397-08002B2CF9AE}" pid="4" name="MSIP_Label_0374b79e-0b12-4022-a0b6-3829b61a9aaa_Method">
    <vt:lpwstr>Standard</vt:lpwstr>
  </property>
  <property fmtid="{D5CDD505-2E9C-101B-9397-08002B2CF9AE}" pid="5" name="MSIP_Label_0374b79e-0b12-4022-a0b6-3829b61a9aaa_Name">
    <vt:lpwstr>0374b79e-0b12-4022-a0b6-3829b61a9aaa</vt:lpwstr>
  </property>
  <property fmtid="{D5CDD505-2E9C-101B-9397-08002B2CF9AE}" pid="6" name="MSIP_Label_0374b79e-0b12-4022-a0b6-3829b61a9aaa_SiteId">
    <vt:lpwstr>25113e57-71ec-46db-8047-a1fa96b9b68d</vt:lpwstr>
  </property>
  <property fmtid="{D5CDD505-2E9C-101B-9397-08002B2CF9AE}" pid="7" name="MSIP_Label_0374b79e-0b12-4022-a0b6-3829b61a9aaa_ActionId">
    <vt:lpwstr>92411eb1-44c7-46c4-9fb6-480bcd8571f8</vt:lpwstr>
  </property>
  <property fmtid="{D5CDD505-2E9C-101B-9397-08002B2CF9AE}" pid="8" name="MSIP_Label_0374b79e-0b12-4022-a0b6-3829b61a9aaa_ContentBits">
    <vt:lpwstr>0</vt:lpwstr>
  </property>
  <property fmtid="{D5CDD505-2E9C-101B-9397-08002B2CF9AE}" pid="9" name="MSIP_Label_0374b79e-0b12-4022-a0b6-3829b61a9aaa_Tag">
    <vt:lpwstr>10, 3, 0, 1</vt:lpwstr>
  </property>
</Properties>
</file>