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37BB7D72">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B186F24" w14:textId="61AFB60F" w:rsidR="00323C90" w:rsidRPr="00323C90" w:rsidRDefault="00B676A7" w:rsidP="00323C90">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b/>
          <w:color w:val="383D3C"/>
          <w:kern w:val="2"/>
          <w:sz w:val="32"/>
          <w:szCs w:val="32"/>
          <w:lang w:val="en-US" w:eastAsia="zh-CN" w:bidi="hi-IN"/>
        </w:rPr>
        <w:t>FRA ADDENDUM</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For: Replacement stable barn and rationalisation of existing equestrian buildings.</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 xml:space="preserve">At: </w:t>
      </w:r>
      <w:proofErr w:type="spellStart"/>
      <w:r w:rsidRPr="00323C90">
        <w:rPr>
          <w:rFonts w:ascii="Segoe UI Symbol" w:eastAsia="NSimSun" w:hAnsi="Segoe UI Symbol" w:cs="Arial"/>
          <w:color w:val="383D3C"/>
          <w:kern w:val="2"/>
          <w:sz w:val="28"/>
          <w:szCs w:val="28"/>
          <w:lang w:val="en-US" w:eastAsia="zh-CN" w:bidi="hi-IN"/>
        </w:rPr>
        <w:t>Poundcroft</w:t>
      </w:r>
      <w:proofErr w:type="spellEnd"/>
      <w:r w:rsidRPr="00323C90">
        <w:rPr>
          <w:rFonts w:ascii="Segoe UI Symbol" w:eastAsia="NSimSun" w:hAnsi="Segoe UI Symbol" w:cs="Arial"/>
          <w:color w:val="383D3C"/>
          <w:kern w:val="2"/>
          <w:sz w:val="28"/>
          <w:szCs w:val="28"/>
          <w:lang w:val="en-US" w:eastAsia="zh-CN" w:bidi="hi-IN"/>
        </w:rPr>
        <w:t xml:space="preserve">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940709E"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323C90">
        <w:rPr>
          <w:rFonts w:ascii="Segoe UI Symbol" w:hAnsi="Segoe UI Symbol"/>
          <w:color w:val="383D3C"/>
          <w:sz w:val="28"/>
          <w:szCs w:val="28"/>
        </w:rPr>
        <w:t>August 2026</w:t>
      </w:r>
    </w:p>
    <w:p w14:paraId="1CA20E16" w14:textId="77777777" w:rsidR="0019742B" w:rsidRDefault="0019742B">
      <w:pPr>
        <w:spacing w:after="0" w:line="240" w:lineRule="auto"/>
        <w:rPr>
          <w:rFonts w:ascii="Segoe UI Symbol" w:hAnsi="Segoe UI Symbol" w:cs="Arial"/>
          <w:sz w:val="24"/>
          <w:szCs w:val="24"/>
        </w:rPr>
      </w:pPr>
    </w:p>
    <w:sdt>
      <w:sdtPr>
        <w:id w:val="2057350824"/>
        <w:docPartObj>
          <w:docPartGallery w:val="Table of Contents"/>
          <w:docPartUnique/>
        </w:docPartObj>
      </w:sdtPr>
      <w:sdtEndPr>
        <w:rPr>
          <w:rFonts w:ascii="Calibri" w:eastAsia="Times New Roman" w:hAnsi="Calibri" w:cs="Times New Roman"/>
          <w:bCs/>
          <w:noProof/>
          <w:sz w:val="22"/>
          <w:szCs w:val="22"/>
          <w:lang w:val="en-GB"/>
        </w:rPr>
      </w:sdtEndPr>
      <w:sdtContent>
        <w:p w14:paraId="35A19CB1" w14:textId="4F6F4C5B" w:rsidR="00B676A7" w:rsidRDefault="00B676A7">
          <w:pPr>
            <w:pStyle w:val="TOCHeading"/>
          </w:pPr>
          <w:r>
            <w:t>Contents</w:t>
          </w:r>
        </w:p>
        <w:p w14:paraId="21FBC84F" w14:textId="40489B60"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8543570" w:history="1">
            <w:r w:rsidRPr="00175729">
              <w:rPr>
                <w:rStyle w:val="Hyperlink"/>
              </w:rPr>
              <w:t>1. Purpose of Addendum</w:t>
            </w:r>
            <w:r>
              <w:rPr>
                <w:webHidden/>
              </w:rPr>
              <w:tab/>
            </w:r>
            <w:r>
              <w:rPr>
                <w:webHidden/>
              </w:rPr>
              <w:fldChar w:fldCharType="begin"/>
            </w:r>
            <w:r>
              <w:rPr>
                <w:webHidden/>
              </w:rPr>
              <w:instrText xml:space="preserve"> PAGEREF _Toc238543570 \h </w:instrText>
            </w:r>
            <w:r>
              <w:rPr>
                <w:webHidden/>
              </w:rPr>
            </w:r>
            <w:r>
              <w:rPr>
                <w:webHidden/>
              </w:rPr>
              <w:fldChar w:fldCharType="separate"/>
            </w:r>
            <w:r>
              <w:rPr>
                <w:webHidden/>
              </w:rPr>
              <w:t>3</w:t>
            </w:r>
            <w:r>
              <w:rPr>
                <w:webHidden/>
              </w:rPr>
              <w:fldChar w:fldCharType="end"/>
            </w:r>
          </w:hyperlink>
        </w:p>
        <w:p w14:paraId="53404F9F" w14:textId="371DE063"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hyperlink w:anchor="_Toc238543571" w:history="1">
            <w:r w:rsidRPr="00175729">
              <w:rPr>
                <w:rStyle w:val="Hyperlink"/>
              </w:rPr>
              <w:t>2. Revised Development</w:t>
            </w:r>
            <w:r>
              <w:rPr>
                <w:webHidden/>
              </w:rPr>
              <w:tab/>
            </w:r>
            <w:r>
              <w:rPr>
                <w:webHidden/>
              </w:rPr>
              <w:fldChar w:fldCharType="begin"/>
            </w:r>
            <w:r>
              <w:rPr>
                <w:webHidden/>
              </w:rPr>
              <w:instrText xml:space="preserve"> PAGEREF _Toc238543571 \h </w:instrText>
            </w:r>
            <w:r>
              <w:rPr>
                <w:webHidden/>
              </w:rPr>
            </w:r>
            <w:r>
              <w:rPr>
                <w:webHidden/>
              </w:rPr>
              <w:fldChar w:fldCharType="separate"/>
            </w:r>
            <w:r>
              <w:rPr>
                <w:webHidden/>
              </w:rPr>
              <w:t>3</w:t>
            </w:r>
            <w:r>
              <w:rPr>
                <w:webHidden/>
              </w:rPr>
              <w:fldChar w:fldCharType="end"/>
            </w:r>
          </w:hyperlink>
        </w:p>
        <w:p w14:paraId="653B6731" w14:textId="0329191C"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hyperlink w:anchor="_Toc238543572" w:history="1">
            <w:r w:rsidRPr="00175729">
              <w:rPr>
                <w:rStyle w:val="Hyperlink"/>
              </w:rPr>
              <w:t>3. Effect on the Original Flood Risk Assessment</w:t>
            </w:r>
            <w:r>
              <w:rPr>
                <w:webHidden/>
              </w:rPr>
              <w:tab/>
            </w:r>
            <w:r>
              <w:rPr>
                <w:webHidden/>
              </w:rPr>
              <w:fldChar w:fldCharType="begin"/>
            </w:r>
            <w:r>
              <w:rPr>
                <w:webHidden/>
              </w:rPr>
              <w:instrText xml:space="preserve"> PAGEREF _Toc238543572 \h </w:instrText>
            </w:r>
            <w:r>
              <w:rPr>
                <w:webHidden/>
              </w:rPr>
            </w:r>
            <w:r>
              <w:rPr>
                <w:webHidden/>
              </w:rPr>
              <w:fldChar w:fldCharType="separate"/>
            </w:r>
            <w:r>
              <w:rPr>
                <w:webHidden/>
              </w:rPr>
              <w:t>4</w:t>
            </w:r>
            <w:r>
              <w:rPr>
                <w:webHidden/>
              </w:rPr>
              <w:fldChar w:fldCharType="end"/>
            </w:r>
          </w:hyperlink>
        </w:p>
        <w:p w14:paraId="32F2BA3D" w14:textId="6B9628C3"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hyperlink w:anchor="_Toc238543573" w:history="1">
            <w:r w:rsidRPr="00175729">
              <w:rPr>
                <w:rStyle w:val="Hyperlink"/>
              </w:rPr>
              <w:t>4. Floodplain and Ground Levels</w:t>
            </w:r>
            <w:r>
              <w:rPr>
                <w:webHidden/>
              </w:rPr>
              <w:tab/>
            </w:r>
            <w:r>
              <w:rPr>
                <w:webHidden/>
              </w:rPr>
              <w:fldChar w:fldCharType="begin"/>
            </w:r>
            <w:r>
              <w:rPr>
                <w:webHidden/>
              </w:rPr>
              <w:instrText xml:space="preserve"> PAGEREF _Toc238543573 \h </w:instrText>
            </w:r>
            <w:r>
              <w:rPr>
                <w:webHidden/>
              </w:rPr>
            </w:r>
            <w:r>
              <w:rPr>
                <w:webHidden/>
              </w:rPr>
              <w:fldChar w:fldCharType="separate"/>
            </w:r>
            <w:r>
              <w:rPr>
                <w:webHidden/>
              </w:rPr>
              <w:t>4</w:t>
            </w:r>
            <w:r>
              <w:rPr>
                <w:webHidden/>
              </w:rPr>
              <w:fldChar w:fldCharType="end"/>
            </w:r>
          </w:hyperlink>
        </w:p>
        <w:p w14:paraId="24DF7E2B" w14:textId="67C4B1B6"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hyperlink w:anchor="_Toc238543574" w:history="1">
            <w:r w:rsidRPr="00175729">
              <w:rPr>
                <w:rStyle w:val="Hyperlink"/>
              </w:rPr>
              <w:t>5. Surface-Water Drainage</w:t>
            </w:r>
            <w:r>
              <w:rPr>
                <w:webHidden/>
              </w:rPr>
              <w:tab/>
            </w:r>
            <w:r>
              <w:rPr>
                <w:webHidden/>
              </w:rPr>
              <w:fldChar w:fldCharType="begin"/>
            </w:r>
            <w:r>
              <w:rPr>
                <w:webHidden/>
              </w:rPr>
              <w:instrText xml:space="preserve"> PAGEREF _Toc238543574 \h </w:instrText>
            </w:r>
            <w:r>
              <w:rPr>
                <w:webHidden/>
              </w:rPr>
            </w:r>
            <w:r>
              <w:rPr>
                <w:webHidden/>
              </w:rPr>
              <w:fldChar w:fldCharType="separate"/>
            </w:r>
            <w:r>
              <w:rPr>
                <w:webHidden/>
              </w:rPr>
              <w:t>5</w:t>
            </w:r>
            <w:r>
              <w:rPr>
                <w:webHidden/>
              </w:rPr>
              <w:fldChar w:fldCharType="end"/>
            </w:r>
          </w:hyperlink>
        </w:p>
        <w:p w14:paraId="2CF80074" w14:textId="2DD3B528"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hyperlink w:anchor="_Toc238543575" w:history="1">
            <w:r w:rsidRPr="00175729">
              <w:rPr>
                <w:rStyle w:val="Hyperlink"/>
              </w:rPr>
              <w:t>6. Flood-Resilient Construction and Management</w:t>
            </w:r>
            <w:r>
              <w:rPr>
                <w:webHidden/>
              </w:rPr>
              <w:tab/>
            </w:r>
            <w:r>
              <w:rPr>
                <w:webHidden/>
              </w:rPr>
              <w:fldChar w:fldCharType="begin"/>
            </w:r>
            <w:r>
              <w:rPr>
                <w:webHidden/>
              </w:rPr>
              <w:instrText xml:space="preserve"> PAGEREF _Toc238543575 \h </w:instrText>
            </w:r>
            <w:r>
              <w:rPr>
                <w:webHidden/>
              </w:rPr>
            </w:r>
            <w:r>
              <w:rPr>
                <w:webHidden/>
              </w:rPr>
              <w:fldChar w:fldCharType="separate"/>
            </w:r>
            <w:r>
              <w:rPr>
                <w:webHidden/>
              </w:rPr>
              <w:t>5</w:t>
            </w:r>
            <w:r>
              <w:rPr>
                <w:webHidden/>
              </w:rPr>
              <w:fldChar w:fldCharType="end"/>
            </w:r>
          </w:hyperlink>
        </w:p>
        <w:p w14:paraId="41362AE5" w14:textId="10731C76"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hyperlink w:anchor="_Toc238543576" w:history="1">
            <w:r w:rsidRPr="00175729">
              <w:rPr>
                <w:rStyle w:val="Hyperlink"/>
              </w:rPr>
              <w:t>7. Sequential Approach</w:t>
            </w:r>
            <w:r>
              <w:rPr>
                <w:webHidden/>
              </w:rPr>
              <w:tab/>
            </w:r>
            <w:r>
              <w:rPr>
                <w:webHidden/>
              </w:rPr>
              <w:fldChar w:fldCharType="begin"/>
            </w:r>
            <w:r>
              <w:rPr>
                <w:webHidden/>
              </w:rPr>
              <w:instrText xml:space="preserve"> PAGEREF _Toc238543576 \h </w:instrText>
            </w:r>
            <w:r>
              <w:rPr>
                <w:webHidden/>
              </w:rPr>
            </w:r>
            <w:r>
              <w:rPr>
                <w:webHidden/>
              </w:rPr>
              <w:fldChar w:fldCharType="separate"/>
            </w:r>
            <w:r>
              <w:rPr>
                <w:webHidden/>
              </w:rPr>
              <w:t>6</w:t>
            </w:r>
            <w:r>
              <w:rPr>
                <w:webHidden/>
              </w:rPr>
              <w:fldChar w:fldCharType="end"/>
            </w:r>
          </w:hyperlink>
        </w:p>
        <w:p w14:paraId="56187B57" w14:textId="440CBD00" w:rsidR="00B676A7" w:rsidRDefault="00B676A7">
          <w:pPr>
            <w:pStyle w:val="TOC1"/>
            <w:rPr>
              <w:rFonts w:asciiTheme="minorHAnsi" w:eastAsiaTheme="minorEastAsia" w:hAnsiTheme="minorHAnsi" w:cstheme="minorBidi"/>
              <w:b w:val="0"/>
              <w:bCs w:val="0"/>
              <w:kern w:val="2"/>
              <w:sz w:val="24"/>
              <w:szCs w:val="24"/>
              <w:lang w:eastAsia="en-GB"/>
              <w14:ligatures w14:val="standardContextual"/>
            </w:rPr>
          </w:pPr>
          <w:hyperlink w:anchor="_Toc238543577" w:history="1">
            <w:r w:rsidRPr="00175729">
              <w:rPr>
                <w:rStyle w:val="Hyperlink"/>
              </w:rPr>
              <w:t>8. Conclusion</w:t>
            </w:r>
            <w:r>
              <w:rPr>
                <w:webHidden/>
              </w:rPr>
              <w:tab/>
            </w:r>
            <w:r>
              <w:rPr>
                <w:webHidden/>
              </w:rPr>
              <w:fldChar w:fldCharType="begin"/>
            </w:r>
            <w:r>
              <w:rPr>
                <w:webHidden/>
              </w:rPr>
              <w:instrText xml:space="preserve"> PAGEREF _Toc238543577 \h </w:instrText>
            </w:r>
            <w:r>
              <w:rPr>
                <w:webHidden/>
              </w:rPr>
            </w:r>
            <w:r>
              <w:rPr>
                <w:webHidden/>
              </w:rPr>
              <w:fldChar w:fldCharType="separate"/>
            </w:r>
            <w:r>
              <w:rPr>
                <w:webHidden/>
              </w:rPr>
              <w:t>6</w:t>
            </w:r>
            <w:r>
              <w:rPr>
                <w:webHidden/>
              </w:rPr>
              <w:fldChar w:fldCharType="end"/>
            </w:r>
          </w:hyperlink>
        </w:p>
        <w:p w14:paraId="140504F3" w14:textId="0440A4E1" w:rsidR="00B676A7" w:rsidRDefault="00B676A7">
          <w:r>
            <w:rPr>
              <w:b/>
              <w:bCs/>
              <w:noProof/>
            </w:rPr>
            <w:fldChar w:fldCharType="end"/>
          </w:r>
        </w:p>
      </w:sdtContent>
    </w:sdt>
    <w:p w14:paraId="10031D44" w14:textId="77777777" w:rsidR="0019742B" w:rsidRDefault="0019742B">
      <w:pPr>
        <w:spacing w:after="0" w:line="240" w:lineRule="auto"/>
        <w:rPr>
          <w:rFonts w:ascii="Segoe UI Symbol" w:hAnsi="Segoe UI Symbol" w:cs="Arial"/>
          <w:sz w:val="24"/>
          <w:szCs w:val="24"/>
        </w:rPr>
      </w:pPr>
    </w:p>
    <w:p w14:paraId="39A97471" w14:textId="77777777" w:rsidR="00B676A7" w:rsidRDefault="00B676A7">
      <w:pPr>
        <w:spacing w:after="0" w:line="240" w:lineRule="auto"/>
        <w:rPr>
          <w:rFonts w:ascii="Segoe UI Symbol" w:hAnsi="Segoe UI Symbol" w:cs="Arial"/>
          <w:sz w:val="24"/>
          <w:szCs w:val="24"/>
        </w:rPr>
      </w:pPr>
    </w:p>
    <w:p w14:paraId="4E5DAD1E" w14:textId="77777777" w:rsidR="00B676A7" w:rsidRDefault="00B676A7">
      <w:pPr>
        <w:spacing w:after="0" w:line="240" w:lineRule="auto"/>
        <w:rPr>
          <w:rFonts w:ascii="Segoe UI Symbol" w:hAnsi="Segoe UI Symbol" w:cs="Arial"/>
          <w:sz w:val="24"/>
          <w:szCs w:val="24"/>
        </w:rPr>
      </w:pPr>
    </w:p>
    <w:p w14:paraId="5C69C399" w14:textId="77777777" w:rsidR="00B676A7" w:rsidRDefault="00B676A7">
      <w:pPr>
        <w:spacing w:after="0" w:line="240" w:lineRule="auto"/>
        <w:rPr>
          <w:rFonts w:ascii="Segoe UI Symbol" w:hAnsi="Segoe UI Symbol" w:cs="Arial"/>
          <w:sz w:val="24"/>
          <w:szCs w:val="24"/>
        </w:rPr>
      </w:pPr>
    </w:p>
    <w:p w14:paraId="5B3782EF" w14:textId="77777777" w:rsidR="00B676A7" w:rsidRDefault="00B676A7">
      <w:pPr>
        <w:spacing w:after="0" w:line="240" w:lineRule="auto"/>
        <w:rPr>
          <w:rFonts w:ascii="Segoe UI Symbol" w:hAnsi="Segoe UI Symbol" w:cs="Arial"/>
          <w:sz w:val="24"/>
          <w:szCs w:val="24"/>
        </w:rPr>
      </w:pPr>
    </w:p>
    <w:p w14:paraId="2BCCD5B5" w14:textId="77777777" w:rsidR="00B676A7" w:rsidRDefault="00B676A7">
      <w:pPr>
        <w:spacing w:after="0" w:line="240" w:lineRule="auto"/>
        <w:rPr>
          <w:rFonts w:ascii="Segoe UI Symbol" w:hAnsi="Segoe UI Symbol" w:cs="Arial"/>
          <w:sz w:val="24"/>
          <w:szCs w:val="24"/>
        </w:rPr>
      </w:pPr>
    </w:p>
    <w:p w14:paraId="1549CFD8" w14:textId="77777777" w:rsidR="00B676A7" w:rsidRDefault="00B676A7">
      <w:pPr>
        <w:spacing w:after="0" w:line="240" w:lineRule="auto"/>
        <w:rPr>
          <w:rFonts w:ascii="Segoe UI Symbol" w:hAnsi="Segoe UI Symbol" w:cs="Arial"/>
          <w:sz w:val="24"/>
          <w:szCs w:val="24"/>
        </w:rPr>
      </w:pPr>
    </w:p>
    <w:p w14:paraId="33E6D38A" w14:textId="77777777" w:rsidR="00B676A7" w:rsidRDefault="00B676A7">
      <w:pPr>
        <w:spacing w:after="0" w:line="240" w:lineRule="auto"/>
        <w:rPr>
          <w:rFonts w:ascii="Segoe UI Symbol" w:hAnsi="Segoe UI Symbol" w:cs="Arial"/>
          <w:sz w:val="24"/>
          <w:szCs w:val="24"/>
        </w:rPr>
      </w:pPr>
    </w:p>
    <w:p w14:paraId="783C15D7" w14:textId="77777777" w:rsidR="00B676A7" w:rsidRDefault="00B676A7">
      <w:pPr>
        <w:spacing w:after="0" w:line="240" w:lineRule="auto"/>
        <w:rPr>
          <w:rFonts w:ascii="Segoe UI Symbol" w:hAnsi="Segoe UI Symbol" w:cs="Arial"/>
          <w:sz w:val="24"/>
          <w:szCs w:val="24"/>
        </w:rPr>
      </w:pPr>
    </w:p>
    <w:p w14:paraId="1D291C5C" w14:textId="77777777" w:rsidR="00B676A7" w:rsidRDefault="00B676A7">
      <w:pPr>
        <w:spacing w:after="0" w:line="240" w:lineRule="auto"/>
        <w:rPr>
          <w:rFonts w:ascii="Segoe UI Symbol" w:hAnsi="Segoe UI Symbol" w:cs="Arial"/>
          <w:sz w:val="24"/>
          <w:szCs w:val="24"/>
        </w:rPr>
      </w:pPr>
    </w:p>
    <w:p w14:paraId="5F936AD5" w14:textId="77777777" w:rsidR="00B676A7" w:rsidRDefault="00B676A7">
      <w:pPr>
        <w:spacing w:after="0" w:line="240" w:lineRule="auto"/>
        <w:rPr>
          <w:rFonts w:ascii="Segoe UI Symbol" w:hAnsi="Segoe UI Symbol" w:cs="Arial"/>
          <w:sz w:val="24"/>
          <w:szCs w:val="24"/>
        </w:rPr>
      </w:pPr>
    </w:p>
    <w:p w14:paraId="3C265BC8" w14:textId="77777777" w:rsidR="00B676A7" w:rsidRDefault="00B676A7">
      <w:pPr>
        <w:spacing w:after="0" w:line="240" w:lineRule="auto"/>
        <w:rPr>
          <w:rFonts w:ascii="Segoe UI Symbol" w:hAnsi="Segoe UI Symbol" w:cs="Arial"/>
          <w:sz w:val="24"/>
          <w:szCs w:val="24"/>
        </w:rPr>
      </w:pPr>
    </w:p>
    <w:p w14:paraId="3F91B65B" w14:textId="77777777" w:rsidR="00B676A7" w:rsidRDefault="00B676A7">
      <w:pPr>
        <w:spacing w:after="0" w:line="240" w:lineRule="auto"/>
        <w:rPr>
          <w:rFonts w:ascii="Segoe UI Symbol" w:hAnsi="Segoe UI Symbol" w:cs="Arial"/>
          <w:sz w:val="24"/>
          <w:szCs w:val="24"/>
        </w:rPr>
      </w:pPr>
    </w:p>
    <w:p w14:paraId="13FBEAF1" w14:textId="77777777" w:rsidR="00B676A7" w:rsidRDefault="00B676A7">
      <w:pPr>
        <w:spacing w:after="0" w:line="240" w:lineRule="auto"/>
        <w:rPr>
          <w:rFonts w:ascii="Segoe UI Symbol" w:hAnsi="Segoe UI Symbol" w:cs="Arial"/>
          <w:sz w:val="24"/>
          <w:szCs w:val="24"/>
        </w:rPr>
      </w:pPr>
    </w:p>
    <w:p w14:paraId="1C21D4FE" w14:textId="77777777" w:rsidR="00B676A7" w:rsidRDefault="00B676A7">
      <w:pPr>
        <w:spacing w:after="0" w:line="240" w:lineRule="auto"/>
        <w:rPr>
          <w:rFonts w:ascii="Segoe UI Symbol" w:hAnsi="Segoe UI Symbol" w:cs="Arial"/>
          <w:sz w:val="24"/>
          <w:szCs w:val="24"/>
        </w:rPr>
      </w:pPr>
    </w:p>
    <w:p w14:paraId="089F42D6" w14:textId="77777777" w:rsidR="00B676A7" w:rsidRDefault="00B676A7">
      <w:pPr>
        <w:spacing w:after="0" w:line="240" w:lineRule="auto"/>
        <w:rPr>
          <w:rFonts w:ascii="Segoe UI Symbol" w:hAnsi="Segoe UI Symbol" w:cs="Arial"/>
          <w:sz w:val="24"/>
          <w:szCs w:val="24"/>
        </w:rPr>
      </w:pPr>
    </w:p>
    <w:p w14:paraId="0C4863D8" w14:textId="77777777" w:rsidR="00B676A7" w:rsidRDefault="00B676A7">
      <w:pPr>
        <w:spacing w:after="0" w:line="240" w:lineRule="auto"/>
        <w:rPr>
          <w:rFonts w:ascii="Segoe UI Symbol" w:hAnsi="Segoe UI Symbol" w:cs="Arial"/>
          <w:sz w:val="24"/>
          <w:szCs w:val="24"/>
        </w:rPr>
      </w:pPr>
    </w:p>
    <w:p w14:paraId="2CCB7B2A" w14:textId="77777777" w:rsidR="00B676A7" w:rsidRDefault="00B676A7">
      <w:pPr>
        <w:spacing w:after="0" w:line="240" w:lineRule="auto"/>
        <w:rPr>
          <w:rFonts w:ascii="Segoe UI Symbol" w:hAnsi="Segoe UI Symbol" w:cs="Arial"/>
          <w:sz w:val="24"/>
          <w:szCs w:val="24"/>
        </w:rPr>
      </w:pPr>
    </w:p>
    <w:p w14:paraId="0614C27F" w14:textId="77777777" w:rsidR="00B676A7" w:rsidRDefault="00B676A7">
      <w:pPr>
        <w:spacing w:after="0" w:line="240" w:lineRule="auto"/>
        <w:rPr>
          <w:rFonts w:ascii="Segoe UI Symbol" w:hAnsi="Segoe UI Symbol" w:cs="Arial"/>
          <w:sz w:val="24"/>
          <w:szCs w:val="24"/>
        </w:rPr>
      </w:pPr>
    </w:p>
    <w:p w14:paraId="44572F1D" w14:textId="77777777" w:rsidR="00B676A7" w:rsidRDefault="00B676A7">
      <w:pPr>
        <w:spacing w:after="0" w:line="240" w:lineRule="auto"/>
        <w:rPr>
          <w:rFonts w:ascii="Segoe UI Symbol" w:hAnsi="Segoe UI Symbol" w:cs="Arial"/>
          <w:sz w:val="24"/>
          <w:szCs w:val="24"/>
        </w:rPr>
      </w:pPr>
    </w:p>
    <w:p w14:paraId="0452DB0A" w14:textId="77777777" w:rsidR="00B676A7" w:rsidRDefault="00B676A7">
      <w:pPr>
        <w:spacing w:after="0" w:line="240" w:lineRule="auto"/>
        <w:rPr>
          <w:rFonts w:ascii="Segoe UI Symbol" w:hAnsi="Segoe UI Symbol" w:cs="Arial"/>
          <w:sz w:val="24"/>
          <w:szCs w:val="24"/>
        </w:rPr>
      </w:pPr>
    </w:p>
    <w:p w14:paraId="01D3341C" w14:textId="77777777" w:rsidR="00B676A7" w:rsidRDefault="00B676A7">
      <w:pPr>
        <w:spacing w:after="0" w:line="240" w:lineRule="auto"/>
        <w:rPr>
          <w:rFonts w:ascii="Segoe UI Symbol" w:hAnsi="Segoe UI Symbol" w:cs="Arial"/>
          <w:sz w:val="24"/>
          <w:szCs w:val="24"/>
        </w:rPr>
      </w:pPr>
    </w:p>
    <w:p w14:paraId="6A8CE81E" w14:textId="77777777" w:rsidR="00B676A7" w:rsidRDefault="00B676A7">
      <w:pPr>
        <w:spacing w:after="0" w:line="240" w:lineRule="auto"/>
        <w:rPr>
          <w:rFonts w:ascii="Segoe UI Symbol" w:hAnsi="Segoe UI Symbol" w:cs="Arial"/>
          <w:sz w:val="24"/>
          <w:szCs w:val="24"/>
        </w:rPr>
      </w:pPr>
    </w:p>
    <w:p w14:paraId="50233790" w14:textId="77777777" w:rsidR="00B676A7" w:rsidRDefault="00B676A7">
      <w:pPr>
        <w:spacing w:after="0" w:line="240" w:lineRule="auto"/>
        <w:rPr>
          <w:rFonts w:ascii="Segoe UI Symbol" w:hAnsi="Segoe UI Symbol" w:cs="Arial"/>
          <w:sz w:val="24"/>
          <w:szCs w:val="24"/>
        </w:rPr>
      </w:pPr>
    </w:p>
    <w:p w14:paraId="28CE5F19" w14:textId="77777777" w:rsidR="00B676A7" w:rsidRPr="00B676A7" w:rsidRDefault="00B676A7" w:rsidP="00B676A7">
      <w:pPr>
        <w:pStyle w:val="Heading1"/>
      </w:pPr>
      <w:bookmarkStart w:id="0" w:name="_Toc238543570"/>
      <w:r w:rsidRPr="00B676A7">
        <w:lastRenderedPageBreak/>
        <w:t>1. Purpose of Addendum</w:t>
      </w:r>
      <w:bookmarkEnd w:id="0"/>
    </w:p>
    <w:p w14:paraId="10231122" w14:textId="77777777" w:rsidR="00B676A7" w:rsidRPr="00B676A7" w:rsidRDefault="00B676A7" w:rsidP="00B676A7">
      <w:pPr>
        <w:spacing w:after="0" w:line="240" w:lineRule="auto"/>
        <w:rPr>
          <w:rFonts w:ascii="Segoe UI Symbol" w:hAnsi="Segoe UI Symbol" w:cs="Arial"/>
          <w:sz w:val="24"/>
          <w:szCs w:val="24"/>
        </w:rPr>
      </w:pPr>
    </w:p>
    <w:p w14:paraId="2C551108"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This addendum should be read alongside the Flood Risk Assessment prepared by Unda Consulting Limited, reference 97033-Loxton-HavantRd v1.0, dated February 2026.</w:t>
      </w:r>
    </w:p>
    <w:p w14:paraId="567B24EA" w14:textId="77777777" w:rsidR="00B676A7" w:rsidRPr="00B676A7" w:rsidRDefault="00B676A7" w:rsidP="00B676A7">
      <w:pPr>
        <w:spacing w:after="0" w:line="240" w:lineRule="auto"/>
        <w:rPr>
          <w:rFonts w:ascii="Segoe UI Symbol" w:hAnsi="Segoe UI Symbol" w:cs="Arial"/>
          <w:sz w:val="24"/>
          <w:szCs w:val="24"/>
        </w:rPr>
      </w:pPr>
    </w:p>
    <w:p w14:paraId="4D440A03"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original Flood Risk Assessment considered:</w:t>
      </w:r>
    </w:p>
    <w:p w14:paraId="4640E93C" w14:textId="77777777" w:rsidR="00B676A7" w:rsidRPr="00B676A7" w:rsidRDefault="00B676A7" w:rsidP="00B676A7">
      <w:pPr>
        <w:spacing w:after="0" w:line="240" w:lineRule="auto"/>
        <w:rPr>
          <w:rFonts w:ascii="Segoe UI Symbol" w:hAnsi="Segoe UI Symbol" w:cs="Arial"/>
          <w:sz w:val="24"/>
          <w:szCs w:val="24"/>
        </w:rPr>
      </w:pPr>
    </w:p>
    <w:p w14:paraId="43407BF6"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Demolition of the existing stables and barn, construction of a new stable building and construction of a 20m x 40m riding arena.</w:t>
      </w:r>
    </w:p>
    <w:p w14:paraId="1BE06C0E" w14:textId="77777777" w:rsidR="00B676A7" w:rsidRPr="00B676A7" w:rsidRDefault="00B676A7" w:rsidP="00B676A7">
      <w:pPr>
        <w:spacing w:after="0" w:line="240" w:lineRule="auto"/>
        <w:rPr>
          <w:rFonts w:ascii="Segoe UI Symbol" w:hAnsi="Segoe UI Symbol" w:cs="Arial"/>
          <w:sz w:val="24"/>
          <w:szCs w:val="24"/>
        </w:rPr>
      </w:pPr>
    </w:p>
    <w:p w14:paraId="0B9E06D8"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application has subsequently been revised. The proposed riding arena has been removed from the scheme in its entirety. The revised application now relates only to:</w:t>
      </w:r>
    </w:p>
    <w:p w14:paraId="487930F5" w14:textId="77777777" w:rsidR="00B676A7" w:rsidRPr="00B676A7" w:rsidRDefault="00B676A7" w:rsidP="00B676A7">
      <w:pPr>
        <w:spacing w:after="0" w:line="240" w:lineRule="auto"/>
        <w:rPr>
          <w:rFonts w:ascii="Segoe UI Symbol" w:hAnsi="Segoe UI Symbol" w:cs="Arial"/>
          <w:sz w:val="24"/>
          <w:szCs w:val="24"/>
        </w:rPr>
      </w:pPr>
    </w:p>
    <w:p w14:paraId="6C581273"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Demolition of the existing stable building and associated peripheral structures and erection of a replacement stable building on the existing stable yard and hardstanding.</w:t>
      </w:r>
    </w:p>
    <w:p w14:paraId="09C8B1C1" w14:textId="77777777" w:rsidR="00B676A7" w:rsidRPr="00B676A7" w:rsidRDefault="00B676A7" w:rsidP="00B676A7">
      <w:pPr>
        <w:spacing w:after="0" w:line="240" w:lineRule="auto"/>
        <w:rPr>
          <w:rFonts w:ascii="Segoe UI Symbol" w:hAnsi="Segoe UI Symbol" w:cs="Arial"/>
          <w:sz w:val="24"/>
          <w:szCs w:val="24"/>
        </w:rPr>
      </w:pPr>
    </w:p>
    <w:p w14:paraId="7357E2D8"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This addendum considers the implications of that change for the conclusions of the original Flood Risk Assessment.</w:t>
      </w:r>
    </w:p>
    <w:p w14:paraId="0DA67F58" w14:textId="77777777" w:rsidR="00B676A7" w:rsidRPr="00B676A7" w:rsidRDefault="00B676A7" w:rsidP="00B676A7">
      <w:pPr>
        <w:spacing w:after="0" w:line="240" w:lineRule="auto"/>
        <w:rPr>
          <w:rFonts w:ascii="Segoe UI Symbol" w:hAnsi="Segoe UI Symbol" w:cs="Arial"/>
          <w:sz w:val="24"/>
          <w:szCs w:val="24"/>
        </w:rPr>
      </w:pPr>
    </w:p>
    <w:p w14:paraId="477004A5" w14:textId="77777777" w:rsidR="00B676A7" w:rsidRPr="00B676A7" w:rsidRDefault="00B676A7" w:rsidP="00B676A7">
      <w:pPr>
        <w:pStyle w:val="Heading1"/>
      </w:pPr>
      <w:bookmarkStart w:id="1" w:name="_Toc238543571"/>
      <w:r w:rsidRPr="00B676A7">
        <w:t>2. Revised Development</w:t>
      </w:r>
      <w:bookmarkEnd w:id="1"/>
    </w:p>
    <w:p w14:paraId="2F6F1831" w14:textId="77777777" w:rsidR="00B676A7" w:rsidRPr="00B676A7" w:rsidRDefault="00B676A7" w:rsidP="00B676A7">
      <w:pPr>
        <w:spacing w:after="0" w:line="240" w:lineRule="auto"/>
        <w:rPr>
          <w:rFonts w:ascii="Segoe UI Symbol" w:hAnsi="Segoe UI Symbol" w:cs="Arial"/>
          <w:sz w:val="24"/>
          <w:szCs w:val="24"/>
        </w:rPr>
      </w:pPr>
    </w:p>
    <w:p w14:paraId="53FFD901"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replacement stable building would principally occupy the area of the existing stable building and established concrete hardstanding. The existing concrete base is to be retained and reused, with a new concrete pad formed over it to provide a suitable base for the replacement building.</w:t>
      </w:r>
    </w:p>
    <w:p w14:paraId="1934E6F7" w14:textId="77777777" w:rsidR="00B676A7" w:rsidRPr="00B676A7" w:rsidRDefault="00B676A7" w:rsidP="00B676A7">
      <w:pPr>
        <w:spacing w:after="0" w:line="240" w:lineRule="auto"/>
        <w:rPr>
          <w:rFonts w:ascii="Segoe UI Symbol" w:hAnsi="Segoe UI Symbol" w:cs="Arial"/>
          <w:sz w:val="24"/>
          <w:szCs w:val="24"/>
        </w:rPr>
      </w:pPr>
    </w:p>
    <w:p w14:paraId="1D8D3EEA"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No riding arena, additional arena surfacing or associated groundworks are now proposed.</w:t>
      </w:r>
    </w:p>
    <w:p w14:paraId="4EB35ECA" w14:textId="77777777" w:rsidR="00B676A7" w:rsidRPr="00B676A7" w:rsidRDefault="00B676A7" w:rsidP="00B676A7">
      <w:pPr>
        <w:spacing w:after="0" w:line="240" w:lineRule="auto"/>
        <w:rPr>
          <w:rFonts w:ascii="Segoe UI Symbol" w:hAnsi="Segoe UI Symbol" w:cs="Arial"/>
          <w:sz w:val="24"/>
          <w:szCs w:val="24"/>
        </w:rPr>
      </w:pPr>
    </w:p>
    <w:p w14:paraId="524845AC"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Several existing peripheral buildings and structures around the stable yard would also be removed and would not be replaced. The development is therefore concentrated on the established stable yard rather than extending built development or hard surfacing across the adjoining field.</w:t>
      </w:r>
    </w:p>
    <w:p w14:paraId="39A5AC9B" w14:textId="77777777" w:rsidR="00B676A7" w:rsidRPr="00B676A7" w:rsidRDefault="00B676A7" w:rsidP="00B676A7">
      <w:pPr>
        <w:spacing w:after="0" w:line="240" w:lineRule="auto"/>
        <w:rPr>
          <w:rFonts w:ascii="Segoe UI Symbol" w:hAnsi="Segoe UI Symbol" w:cs="Arial"/>
          <w:sz w:val="24"/>
          <w:szCs w:val="24"/>
        </w:rPr>
      </w:pPr>
    </w:p>
    <w:p w14:paraId="23DB76F9"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 xml:space="preserve">The established private equestrian use of the site would continue. There would be no change to a more flood-sensitive form of </w:t>
      </w:r>
      <w:proofErr w:type="gramStart"/>
      <w:r w:rsidRPr="00B676A7">
        <w:rPr>
          <w:rFonts w:ascii="Segoe UI Symbol" w:hAnsi="Segoe UI Symbol" w:cs="Arial"/>
          <w:sz w:val="24"/>
          <w:szCs w:val="24"/>
        </w:rPr>
        <w:t>development</w:t>
      </w:r>
      <w:proofErr w:type="gramEnd"/>
      <w:r w:rsidRPr="00B676A7">
        <w:rPr>
          <w:rFonts w:ascii="Segoe UI Symbol" w:hAnsi="Segoe UI Symbol" w:cs="Arial"/>
          <w:sz w:val="24"/>
          <w:szCs w:val="24"/>
        </w:rPr>
        <w:t xml:space="preserve"> and no residential accommodation is proposed.</w:t>
      </w:r>
    </w:p>
    <w:p w14:paraId="356FFEEE" w14:textId="77777777" w:rsidR="00B676A7" w:rsidRPr="00B676A7" w:rsidRDefault="00B676A7" w:rsidP="00B676A7">
      <w:pPr>
        <w:spacing w:after="0" w:line="240" w:lineRule="auto"/>
        <w:rPr>
          <w:rFonts w:ascii="Segoe UI Symbol" w:hAnsi="Segoe UI Symbol" w:cs="Arial"/>
          <w:sz w:val="24"/>
          <w:szCs w:val="24"/>
        </w:rPr>
      </w:pPr>
    </w:p>
    <w:p w14:paraId="2493CD73" w14:textId="77777777" w:rsidR="00B676A7" w:rsidRPr="00B676A7" w:rsidRDefault="00B676A7" w:rsidP="00B676A7">
      <w:pPr>
        <w:pStyle w:val="Heading1"/>
      </w:pPr>
      <w:bookmarkStart w:id="2" w:name="_Toc238543572"/>
      <w:r w:rsidRPr="00B676A7">
        <w:lastRenderedPageBreak/>
        <w:t>3. Effect on the Original Flood Risk Assessment</w:t>
      </w:r>
      <w:bookmarkEnd w:id="2"/>
    </w:p>
    <w:p w14:paraId="553D7836" w14:textId="77777777" w:rsidR="00B676A7" w:rsidRPr="00B676A7" w:rsidRDefault="00B676A7" w:rsidP="00B676A7">
      <w:pPr>
        <w:spacing w:after="0" w:line="240" w:lineRule="auto"/>
        <w:rPr>
          <w:rFonts w:ascii="Segoe UI Symbol" w:hAnsi="Segoe UI Symbol" w:cs="Arial"/>
          <w:sz w:val="24"/>
          <w:szCs w:val="24"/>
        </w:rPr>
      </w:pPr>
    </w:p>
    <w:p w14:paraId="32399BBD"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removal of the riding arena represents a material reduction in the physical extent of the development assessed in the original Flood Risk Assessment.</w:t>
      </w:r>
    </w:p>
    <w:p w14:paraId="67187F9E" w14:textId="77777777" w:rsidR="00B676A7" w:rsidRPr="00B676A7" w:rsidRDefault="00B676A7" w:rsidP="00B676A7">
      <w:pPr>
        <w:spacing w:after="0" w:line="240" w:lineRule="auto"/>
        <w:rPr>
          <w:rFonts w:ascii="Segoe UI Symbol" w:hAnsi="Segoe UI Symbol" w:cs="Arial"/>
          <w:sz w:val="24"/>
          <w:szCs w:val="24"/>
        </w:rPr>
      </w:pPr>
    </w:p>
    <w:p w14:paraId="31E4C80F"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In particular, the revised proposal would:</w:t>
      </w:r>
    </w:p>
    <w:p w14:paraId="30DBC45D" w14:textId="77777777" w:rsidR="00B676A7" w:rsidRPr="00B676A7" w:rsidRDefault="00B676A7" w:rsidP="00B676A7">
      <w:pPr>
        <w:spacing w:after="0" w:line="240" w:lineRule="auto"/>
        <w:rPr>
          <w:rFonts w:ascii="Segoe UI Symbol" w:hAnsi="Segoe UI Symbol" w:cs="Arial"/>
          <w:sz w:val="24"/>
          <w:szCs w:val="24"/>
        </w:rPr>
      </w:pPr>
    </w:p>
    <w:p w14:paraId="7A08E040"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avoid the formation of approximately 800 square metres of arena surfacing;</w:t>
      </w:r>
    </w:p>
    <w:p w14:paraId="418FE77E"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avoid the excavation, levelling and construction works previously associated with the arena;</w:t>
      </w:r>
    </w:p>
    <w:p w14:paraId="48B0AA82"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avoid the introduction of additional surfacing across the adjoining field;</w:t>
      </w:r>
    </w:p>
    <w:p w14:paraId="3C8A1FFC"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concentrate the development on an existing stable yard and established hardstanding;</w:t>
      </w:r>
    </w:p>
    <w:p w14:paraId="19F9C976"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retain and reuse the existing concrete base;</w:t>
      </w:r>
    </w:p>
    <w:p w14:paraId="1EB26F36"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 xml:space="preserve">remove </w:t>
      </w:r>
      <w:proofErr w:type="gramStart"/>
      <w:r w:rsidRPr="00B676A7">
        <w:rPr>
          <w:rFonts w:ascii="Segoe UI Symbol" w:hAnsi="Segoe UI Symbol" w:cs="Arial"/>
          <w:sz w:val="24"/>
          <w:szCs w:val="24"/>
        </w:rPr>
        <w:t>a number of</w:t>
      </w:r>
      <w:proofErr w:type="gramEnd"/>
      <w:r w:rsidRPr="00B676A7">
        <w:rPr>
          <w:rFonts w:ascii="Segoe UI Symbol" w:hAnsi="Segoe UI Symbol" w:cs="Arial"/>
          <w:sz w:val="24"/>
          <w:szCs w:val="24"/>
        </w:rPr>
        <w:t xml:space="preserve"> peripheral structures which would not be replaced; and</w:t>
      </w:r>
    </w:p>
    <w:p w14:paraId="3E613F10"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result in a smaller and less extensive development than that originally assessed.</w:t>
      </w:r>
    </w:p>
    <w:p w14:paraId="33BD177D" w14:textId="77777777" w:rsidR="00B676A7" w:rsidRPr="00B676A7" w:rsidRDefault="00B676A7" w:rsidP="00B676A7">
      <w:pPr>
        <w:spacing w:after="0" w:line="240" w:lineRule="auto"/>
        <w:rPr>
          <w:rFonts w:ascii="Segoe UI Symbol" w:hAnsi="Segoe UI Symbol" w:cs="Arial"/>
          <w:sz w:val="24"/>
          <w:szCs w:val="24"/>
        </w:rPr>
      </w:pPr>
    </w:p>
    <w:p w14:paraId="783AE59B"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principal sources and characteristics of flood risk identified within the original Flood Risk Assessment remain unchanged. The site remains within Flood Zone 3 and the previously identified risks from tidal flooding, surface water and groundwater continue to apply.</w:t>
      </w:r>
    </w:p>
    <w:p w14:paraId="06876B4A" w14:textId="77777777" w:rsidR="00B676A7" w:rsidRPr="00B676A7" w:rsidRDefault="00B676A7" w:rsidP="00B676A7">
      <w:pPr>
        <w:spacing w:after="0" w:line="240" w:lineRule="auto"/>
        <w:rPr>
          <w:rFonts w:ascii="Segoe UI Symbol" w:hAnsi="Segoe UI Symbol" w:cs="Arial"/>
          <w:sz w:val="24"/>
          <w:szCs w:val="24"/>
        </w:rPr>
      </w:pPr>
    </w:p>
    <w:p w14:paraId="142BB2A7"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However, the revised proposal does not introduce any additional or more vulnerable use. Stable buildings and land used for equestrian purposes fall within the “less vulnerable” flood-risk classification. The classification of the site would therefore remain unchanged following development.</w:t>
      </w:r>
    </w:p>
    <w:p w14:paraId="6B71700E" w14:textId="77777777" w:rsidR="00B676A7" w:rsidRPr="00B676A7" w:rsidRDefault="00B676A7" w:rsidP="00B676A7">
      <w:pPr>
        <w:spacing w:after="0" w:line="240" w:lineRule="auto"/>
        <w:rPr>
          <w:rFonts w:ascii="Segoe UI Symbol" w:hAnsi="Segoe UI Symbol" w:cs="Arial"/>
          <w:sz w:val="24"/>
          <w:szCs w:val="24"/>
        </w:rPr>
      </w:pPr>
    </w:p>
    <w:p w14:paraId="79E4BC8C" w14:textId="77777777" w:rsidR="00B676A7" w:rsidRPr="00B676A7" w:rsidRDefault="00B676A7" w:rsidP="00B676A7">
      <w:pPr>
        <w:pStyle w:val="Heading1"/>
      </w:pPr>
      <w:bookmarkStart w:id="3" w:name="_Toc238543573"/>
      <w:r w:rsidRPr="00B676A7">
        <w:t>4. Floodplain and Ground Levels</w:t>
      </w:r>
      <w:bookmarkEnd w:id="3"/>
    </w:p>
    <w:p w14:paraId="5722439D" w14:textId="77777777" w:rsidR="00B676A7" w:rsidRPr="00B676A7" w:rsidRDefault="00B676A7" w:rsidP="00B676A7">
      <w:pPr>
        <w:spacing w:after="0" w:line="240" w:lineRule="auto"/>
        <w:rPr>
          <w:rFonts w:ascii="Segoe UI Symbol" w:hAnsi="Segoe UI Symbol" w:cs="Arial"/>
          <w:sz w:val="24"/>
          <w:szCs w:val="24"/>
        </w:rPr>
      </w:pPr>
    </w:p>
    <w:p w14:paraId="5888C882"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replacement stable building would be erected within the established stable-yard area and principally over an existing impermeable concrete base. The proposal does not involve a general raising of levels across the field or the creation of a raised riding arena.</w:t>
      </w:r>
    </w:p>
    <w:p w14:paraId="12810157" w14:textId="77777777" w:rsidR="00B676A7" w:rsidRPr="00B676A7" w:rsidRDefault="00B676A7" w:rsidP="00B676A7">
      <w:pPr>
        <w:spacing w:after="0" w:line="240" w:lineRule="auto"/>
        <w:rPr>
          <w:rFonts w:ascii="Segoe UI Symbol" w:hAnsi="Segoe UI Symbol" w:cs="Arial"/>
          <w:sz w:val="24"/>
          <w:szCs w:val="24"/>
        </w:rPr>
      </w:pPr>
    </w:p>
    <w:p w14:paraId="7A1D1F79"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new concrete pad over the existing slab would result in a limited and localised increase in the level of the replacement building. This is necessary to provide a suitable, durable and flood-resilient base while avoiding the more disruptive removal of the existing concrete.</w:t>
      </w:r>
    </w:p>
    <w:p w14:paraId="4A4D5FFD" w14:textId="77777777" w:rsidR="00B676A7" w:rsidRPr="00B676A7" w:rsidRDefault="00B676A7" w:rsidP="00B676A7">
      <w:pPr>
        <w:spacing w:after="0" w:line="240" w:lineRule="auto"/>
        <w:rPr>
          <w:rFonts w:ascii="Segoe UI Symbol" w:hAnsi="Segoe UI Symbol" w:cs="Arial"/>
          <w:sz w:val="24"/>
          <w:szCs w:val="24"/>
        </w:rPr>
      </w:pPr>
    </w:p>
    <w:p w14:paraId="156850A5"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Given its limited footprint, its position over existing hardstanding and the tidal nature of the identified flood risk, this localised construction would not be expected to materially affect tidal flood levels, floodplain conveyance or flood risk to surrounding property.</w:t>
      </w:r>
    </w:p>
    <w:p w14:paraId="5DEA7459" w14:textId="77777777" w:rsidR="00B676A7" w:rsidRPr="00B676A7" w:rsidRDefault="00B676A7" w:rsidP="00B676A7">
      <w:pPr>
        <w:spacing w:after="0" w:line="240" w:lineRule="auto"/>
        <w:rPr>
          <w:rFonts w:ascii="Segoe UI Symbol" w:hAnsi="Segoe UI Symbol" w:cs="Arial"/>
          <w:sz w:val="24"/>
          <w:szCs w:val="24"/>
        </w:rPr>
      </w:pPr>
    </w:p>
    <w:p w14:paraId="067E7332"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original FRA concluded that there would be no unacceptable loss of flood storage. That conclusion is strengthened by the removal of the riding arena and the concentration of the revised development on the existing developed part of the site.</w:t>
      </w:r>
    </w:p>
    <w:p w14:paraId="3C15F81E" w14:textId="77777777" w:rsidR="00B676A7" w:rsidRPr="00B676A7" w:rsidRDefault="00B676A7" w:rsidP="00B676A7">
      <w:pPr>
        <w:spacing w:after="0" w:line="240" w:lineRule="auto"/>
        <w:rPr>
          <w:rFonts w:ascii="Segoe UI Symbol" w:hAnsi="Segoe UI Symbol" w:cs="Arial"/>
          <w:sz w:val="24"/>
          <w:szCs w:val="24"/>
        </w:rPr>
      </w:pPr>
    </w:p>
    <w:p w14:paraId="31DC5E28" w14:textId="77777777" w:rsidR="00B676A7" w:rsidRPr="00B676A7" w:rsidRDefault="00B676A7" w:rsidP="00B676A7">
      <w:pPr>
        <w:pStyle w:val="Heading1"/>
      </w:pPr>
      <w:bookmarkStart w:id="4" w:name="_Toc238543574"/>
      <w:r w:rsidRPr="00B676A7">
        <w:t>5. Surface-Water Drainage</w:t>
      </w:r>
      <w:bookmarkEnd w:id="4"/>
    </w:p>
    <w:p w14:paraId="6E14F467" w14:textId="77777777" w:rsidR="00B676A7" w:rsidRPr="00B676A7" w:rsidRDefault="00B676A7" w:rsidP="00B676A7">
      <w:pPr>
        <w:spacing w:after="0" w:line="240" w:lineRule="auto"/>
        <w:rPr>
          <w:rFonts w:ascii="Segoe UI Symbol" w:hAnsi="Segoe UI Symbol" w:cs="Arial"/>
          <w:sz w:val="24"/>
          <w:szCs w:val="24"/>
        </w:rPr>
      </w:pPr>
    </w:p>
    <w:p w14:paraId="34F10563"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existing stable building and yard already benefit from an established drainage arrangement. The replacement building would continue to use the existing drainage infrastructure, with the roof and yard drainage remaining materially as existing.</w:t>
      </w:r>
    </w:p>
    <w:p w14:paraId="1D686515" w14:textId="77777777" w:rsidR="00B676A7" w:rsidRPr="00B676A7" w:rsidRDefault="00B676A7" w:rsidP="00B676A7">
      <w:pPr>
        <w:spacing w:after="0" w:line="240" w:lineRule="auto"/>
        <w:rPr>
          <w:rFonts w:ascii="Segoe UI Symbol" w:hAnsi="Segoe UI Symbol" w:cs="Arial"/>
          <w:sz w:val="24"/>
          <w:szCs w:val="24"/>
        </w:rPr>
      </w:pPr>
    </w:p>
    <w:p w14:paraId="48FAA05C"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There would be no riding arena requiring a separate drainage system and no additional arena runoff to manage. The reuse of the existing stable base also limits the creation of new impermeable surfacing.</w:t>
      </w:r>
    </w:p>
    <w:p w14:paraId="51E6B912" w14:textId="77777777" w:rsidR="00B676A7" w:rsidRPr="00B676A7" w:rsidRDefault="00B676A7" w:rsidP="00B676A7">
      <w:pPr>
        <w:spacing w:after="0" w:line="240" w:lineRule="auto"/>
        <w:rPr>
          <w:rFonts w:ascii="Segoe UI Symbol" w:hAnsi="Segoe UI Symbol" w:cs="Arial"/>
          <w:sz w:val="24"/>
          <w:szCs w:val="24"/>
        </w:rPr>
      </w:pPr>
    </w:p>
    <w:p w14:paraId="1B56C49A"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Consequently, the revised proposal is not expected to result in a material increase in the rate or volume of surface-water runoff from the site. Indeed, the removal of peripheral structures without replacement may result in a modest reduction in the overall developed footprint.</w:t>
      </w:r>
    </w:p>
    <w:p w14:paraId="6AC11259" w14:textId="77777777" w:rsidR="00B676A7" w:rsidRPr="00B676A7" w:rsidRDefault="00B676A7" w:rsidP="00B676A7">
      <w:pPr>
        <w:spacing w:after="0" w:line="240" w:lineRule="auto"/>
        <w:rPr>
          <w:rFonts w:ascii="Segoe UI Symbol" w:hAnsi="Segoe UI Symbol" w:cs="Arial"/>
          <w:sz w:val="24"/>
          <w:szCs w:val="24"/>
        </w:rPr>
      </w:pPr>
    </w:p>
    <w:p w14:paraId="0BE9C856"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detailed drainage arrangement should nevertheless be checked during construction and retained in good working order. Gutters, downpipes, gullies and drainage connections should be kept clear and maintained for the lifetime of the development.</w:t>
      </w:r>
    </w:p>
    <w:p w14:paraId="22B74337" w14:textId="77777777" w:rsidR="00B676A7" w:rsidRPr="00B676A7" w:rsidRDefault="00B676A7" w:rsidP="00B676A7">
      <w:pPr>
        <w:spacing w:after="0" w:line="240" w:lineRule="auto"/>
        <w:rPr>
          <w:rFonts w:ascii="Segoe UI Symbol" w:hAnsi="Segoe UI Symbol" w:cs="Arial"/>
          <w:sz w:val="24"/>
          <w:szCs w:val="24"/>
        </w:rPr>
      </w:pPr>
    </w:p>
    <w:p w14:paraId="6B9A62C1" w14:textId="77777777" w:rsidR="00B676A7" w:rsidRPr="00B676A7" w:rsidRDefault="00B676A7" w:rsidP="00B676A7">
      <w:pPr>
        <w:pStyle w:val="Heading1"/>
      </w:pPr>
      <w:bookmarkStart w:id="5" w:name="_Toc238543575"/>
      <w:r w:rsidRPr="00B676A7">
        <w:t>6. Flood-Resilient Construction and Management</w:t>
      </w:r>
      <w:bookmarkEnd w:id="5"/>
    </w:p>
    <w:p w14:paraId="1CCB74C9" w14:textId="77777777" w:rsidR="00B676A7" w:rsidRPr="00B676A7" w:rsidRDefault="00B676A7" w:rsidP="00B676A7">
      <w:pPr>
        <w:spacing w:after="0" w:line="240" w:lineRule="auto"/>
        <w:rPr>
          <w:rFonts w:ascii="Segoe UI Symbol" w:hAnsi="Segoe UI Symbol" w:cs="Arial"/>
          <w:sz w:val="24"/>
          <w:szCs w:val="24"/>
        </w:rPr>
      </w:pPr>
    </w:p>
    <w:p w14:paraId="444C016F"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flood-resilience and management measures recommended in the original Flood Risk Assessment remain applicable to the replacement stable building where relevant to its form and use.</w:t>
      </w:r>
    </w:p>
    <w:p w14:paraId="32DFE4EE" w14:textId="77777777" w:rsidR="00B676A7" w:rsidRPr="00B676A7" w:rsidRDefault="00B676A7" w:rsidP="00B676A7">
      <w:pPr>
        <w:spacing w:after="0" w:line="240" w:lineRule="auto"/>
        <w:rPr>
          <w:rFonts w:ascii="Segoe UI Symbol" w:hAnsi="Segoe UI Symbol" w:cs="Arial"/>
          <w:sz w:val="24"/>
          <w:szCs w:val="24"/>
        </w:rPr>
      </w:pPr>
    </w:p>
    <w:p w14:paraId="525E3DA0"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These should include:</w:t>
      </w:r>
    </w:p>
    <w:p w14:paraId="046F01B0" w14:textId="77777777" w:rsidR="00B676A7" w:rsidRPr="00B676A7" w:rsidRDefault="00B676A7" w:rsidP="00B676A7">
      <w:pPr>
        <w:spacing w:after="0" w:line="240" w:lineRule="auto"/>
        <w:rPr>
          <w:rFonts w:ascii="Segoe UI Symbol" w:hAnsi="Segoe UI Symbol" w:cs="Arial"/>
          <w:sz w:val="24"/>
          <w:szCs w:val="24"/>
        </w:rPr>
      </w:pPr>
    </w:p>
    <w:p w14:paraId="31A07942"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a robust concrete floor incorporating an appropriate damp-proof or waterproof membrane;</w:t>
      </w:r>
    </w:p>
    <w:p w14:paraId="745894EB"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use of durable and water-resistant materials at lower levels;</w:t>
      </w:r>
    </w:p>
    <w:p w14:paraId="0555E134"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electrical fittings, controls and other vulnerable services positioned above floor level so far as practicable;</w:t>
      </w:r>
    </w:p>
    <w:p w14:paraId="4AAD35AC"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secure drainage covers and non-return protection where appropriate;</w:t>
      </w:r>
    </w:p>
    <w:p w14:paraId="71F0E0A5"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lastRenderedPageBreak/>
        <w:t>registration with the Environment Agency’s flood-warning service;</w:t>
      </w:r>
    </w:p>
    <w:p w14:paraId="40E71FFD"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removal of horses, vehicles and portable equipment from the site when a flood warning is issued and it is safe to do so; and</w:t>
      </w:r>
    </w:p>
    <w:p w14:paraId="7DC30519"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maintenance of an appropriate flood-warning and evacuation procedure.</w:t>
      </w:r>
    </w:p>
    <w:p w14:paraId="3DA78844" w14:textId="77777777" w:rsidR="00B676A7" w:rsidRPr="00B676A7" w:rsidRDefault="00B676A7" w:rsidP="00B676A7">
      <w:pPr>
        <w:spacing w:after="0" w:line="240" w:lineRule="auto"/>
        <w:rPr>
          <w:rFonts w:ascii="Segoe UI Symbol" w:hAnsi="Segoe UI Symbol" w:cs="Arial"/>
          <w:sz w:val="24"/>
          <w:szCs w:val="24"/>
        </w:rPr>
      </w:pPr>
    </w:p>
    <w:p w14:paraId="5F238007"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References in the original FRA to refuge on the first floor of a property are not applicable to the proposed single-storey stable building. The appropriate response to a forecast tidal event would be early evacuation of people and animals before access conditions deteriorate.</w:t>
      </w:r>
    </w:p>
    <w:p w14:paraId="6FF378E3" w14:textId="77777777" w:rsidR="00B676A7" w:rsidRPr="00B676A7" w:rsidRDefault="00B676A7" w:rsidP="00B676A7">
      <w:pPr>
        <w:spacing w:after="0" w:line="240" w:lineRule="auto"/>
        <w:rPr>
          <w:rFonts w:ascii="Segoe UI Symbol" w:hAnsi="Segoe UI Symbol" w:cs="Arial"/>
          <w:sz w:val="24"/>
          <w:szCs w:val="24"/>
        </w:rPr>
      </w:pPr>
    </w:p>
    <w:p w14:paraId="6A718F54" w14:textId="77777777" w:rsidR="00B676A7" w:rsidRPr="00B676A7" w:rsidRDefault="00B676A7" w:rsidP="00B676A7">
      <w:pPr>
        <w:pStyle w:val="Heading1"/>
      </w:pPr>
      <w:bookmarkStart w:id="6" w:name="_Toc238543576"/>
      <w:r w:rsidRPr="00B676A7">
        <w:t>7. Sequential Approach</w:t>
      </w:r>
      <w:bookmarkEnd w:id="6"/>
    </w:p>
    <w:p w14:paraId="219474E4" w14:textId="77777777" w:rsidR="00B676A7" w:rsidRPr="00B676A7" w:rsidRDefault="00B676A7" w:rsidP="00B676A7">
      <w:pPr>
        <w:spacing w:after="0" w:line="240" w:lineRule="auto"/>
        <w:rPr>
          <w:rFonts w:ascii="Segoe UI Symbol" w:hAnsi="Segoe UI Symbol" w:cs="Arial"/>
          <w:sz w:val="24"/>
          <w:szCs w:val="24"/>
        </w:rPr>
      </w:pPr>
    </w:p>
    <w:p w14:paraId="57550D78"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proposal concerns the replacement of established stable accommodation within an existing equestrian site. The building has a clear operational need to be located alongside the existing grazing land, yard and associated equestrian infrastructure.</w:t>
      </w:r>
    </w:p>
    <w:p w14:paraId="74F288BC" w14:textId="77777777" w:rsidR="00B676A7" w:rsidRPr="00B676A7" w:rsidRDefault="00B676A7" w:rsidP="00B676A7">
      <w:pPr>
        <w:spacing w:after="0" w:line="240" w:lineRule="auto"/>
        <w:rPr>
          <w:rFonts w:ascii="Segoe UI Symbol" w:hAnsi="Segoe UI Symbol" w:cs="Arial"/>
          <w:sz w:val="24"/>
          <w:szCs w:val="24"/>
        </w:rPr>
      </w:pPr>
    </w:p>
    <w:p w14:paraId="177493D4"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proposal would not establish a new residential, commercial or visitor use. It would replace existing equestrian buildings on their established site and would remain within the “less vulnerable” flood-risk classification.</w:t>
      </w:r>
    </w:p>
    <w:p w14:paraId="6E57E57C" w14:textId="77777777" w:rsidR="00B676A7" w:rsidRPr="00B676A7" w:rsidRDefault="00B676A7" w:rsidP="00B676A7">
      <w:pPr>
        <w:spacing w:after="0" w:line="240" w:lineRule="auto"/>
        <w:rPr>
          <w:rFonts w:ascii="Segoe UI Symbol" w:hAnsi="Segoe UI Symbol" w:cs="Arial"/>
          <w:sz w:val="24"/>
          <w:szCs w:val="24"/>
        </w:rPr>
      </w:pPr>
    </w:p>
    <w:p w14:paraId="3D0BAC1A"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revised scheme is also more sequentially preferable within the site than the original proposal because it avoids extending development into the adjoining field and concentrates construction on the previously developed stable-yard area.</w:t>
      </w:r>
    </w:p>
    <w:p w14:paraId="03D62436" w14:textId="77777777" w:rsidR="00B676A7" w:rsidRPr="00B676A7" w:rsidRDefault="00B676A7" w:rsidP="00B676A7">
      <w:pPr>
        <w:spacing w:after="0" w:line="240" w:lineRule="auto"/>
        <w:rPr>
          <w:rFonts w:ascii="Segoe UI Symbol" w:hAnsi="Segoe UI Symbol" w:cs="Arial"/>
          <w:sz w:val="24"/>
          <w:szCs w:val="24"/>
        </w:rPr>
      </w:pPr>
    </w:p>
    <w:p w14:paraId="4937D906" w14:textId="77777777" w:rsidR="00B676A7" w:rsidRPr="00B676A7" w:rsidRDefault="00B676A7" w:rsidP="00B676A7">
      <w:pPr>
        <w:pStyle w:val="Heading1"/>
      </w:pPr>
      <w:bookmarkStart w:id="7" w:name="_Toc238543577"/>
      <w:r w:rsidRPr="00B676A7">
        <w:t>8. Conclusion</w:t>
      </w:r>
      <w:bookmarkEnd w:id="7"/>
    </w:p>
    <w:p w14:paraId="7E8D97DD" w14:textId="77777777" w:rsidR="00B676A7" w:rsidRPr="00B676A7" w:rsidRDefault="00B676A7" w:rsidP="00B676A7">
      <w:pPr>
        <w:spacing w:after="0" w:line="240" w:lineRule="auto"/>
        <w:rPr>
          <w:rFonts w:ascii="Segoe UI Symbol" w:hAnsi="Segoe UI Symbol" w:cs="Arial"/>
          <w:sz w:val="24"/>
          <w:szCs w:val="24"/>
        </w:rPr>
      </w:pPr>
    </w:p>
    <w:p w14:paraId="1907ED94"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removal of the proposed riding arena significantly reduces the extent of development considered by the February 2026 Flood Risk Assessment.</w:t>
      </w:r>
    </w:p>
    <w:p w14:paraId="6031F6A5" w14:textId="77777777" w:rsidR="00B676A7" w:rsidRPr="00B676A7" w:rsidRDefault="00B676A7" w:rsidP="00B676A7">
      <w:pPr>
        <w:spacing w:after="0" w:line="240" w:lineRule="auto"/>
        <w:rPr>
          <w:rFonts w:ascii="Segoe UI Symbol" w:hAnsi="Segoe UI Symbol" w:cs="Arial"/>
          <w:sz w:val="24"/>
          <w:szCs w:val="24"/>
        </w:rPr>
      </w:pPr>
    </w:p>
    <w:p w14:paraId="77CFF466"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revised proposal:</w:t>
      </w:r>
    </w:p>
    <w:p w14:paraId="7FDFF2CC" w14:textId="77777777" w:rsidR="00B676A7" w:rsidRPr="00B676A7" w:rsidRDefault="00B676A7" w:rsidP="00B676A7">
      <w:pPr>
        <w:spacing w:after="0" w:line="240" w:lineRule="auto"/>
        <w:rPr>
          <w:rFonts w:ascii="Segoe UI Symbol" w:hAnsi="Segoe UI Symbol" w:cs="Arial"/>
          <w:sz w:val="24"/>
          <w:szCs w:val="24"/>
        </w:rPr>
      </w:pPr>
    </w:p>
    <w:p w14:paraId="4D728527"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remains a “less vulnerable” use;</w:t>
      </w:r>
    </w:p>
    <w:p w14:paraId="3D6B0B8D"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replaces existing stable accommodation within the established yard;</w:t>
      </w:r>
    </w:p>
    <w:p w14:paraId="4EA6E6A8"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principally reuses existing hardstanding;</w:t>
      </w:r>
    </w:p>
    <w:p w14:paraId="73EB8AFA"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avoids approximately 800 square metres of arena construction;</w:t>
      </w:r>
    </w:p>
    <w:p w14:paraId="2E3F91C2"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avoids general ground raising across the field;</w:t>
      </w:r>
    </w:p>
    <w:p w14:paraId="57C7798B"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removes peripheral structures which would not be replaced;</w:t>
      </w:r>
    </w:p>
    <w:p w14:paraId="1A8EC0EF"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lastRenderedPageBreak/>
        <w:t>does not materially increase impermeable surfacing or surface-water runoff; and</w:t>
      </w:r>
    </w:p>
    <w:p w14:paraId="718C58D4"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would not be expected to increase flood risk elsewhere.</w:t>
      </w:r>
    </w:p>
    <w:p w14:paraId="3038AC36" w14:textId="77777777" w:rsidR="00B676A7" w:rsidRPr="00B676A7" w:rsidRDefault="00B676A7" w:rsidP="00B676A7">
      <w:pPr>
        <w:spacing w:after="0" w:line="240" w:lineRule="auto"/>
        <w:rPr>
          <w:rFonts w:ascii="Segoe UI Symbol" w:hAnsi="Segoe UI Symbol" w:cs="Arial"/>
          <w:sz w:val="24"/>
          <w:szCs w:val="24"/>
        </w:rPr>
      </w:pPr>
    </w:p>
    <w:p w14:paraId="09335C60" w14:textId="77777777" w:rsidR="00B676A7" w:rsidRPr="00B676A7"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Subject to the continued application of the relevant flood-resilient construction, drainage maintenance, flood-warning and evacuation measures identified in the original Flood Risk Assessment, its overall conclusion remains applicable.</w:t>
      </w:r>
    </w:p>
    <w:p w14:paraId="126B90AA" w14:textId="77777777" w:rsidR="00B676A7" w:rsidRPr="00B676A7" w:rsidRDefault="00B676A7" w:rsidP="00B676A7">
      <w:pPr>
        <w:spacing w:after="0" w:line="240" w:lineRule="auto"/>
        <w:rPr>
          <w:rFonts w:ascii="Segoe UI Symbol" w:hAnsi="Segoe UI Symbol" w:cs="Arial"/>
          <w:sz w:val="24"/>
          <w:szCs w:val="24"/>
        </w:rPr>
      </w:pPr>
    </w:p>
    <w:p w14:paraId="628660D0" w14:textId="43998FAB" w:rsidR="0019742B" w:rsidRDefault="00B676A7" w:rsidP="00B676A7">
      <w:pPr>
        <w:spacing w:after="0" w:line="240" w:lineRule="auto"/>
        <w:rPr>
          <w:rFonts w:ascii="Segoe UI Symbol" w:hAnsi="Segoe UI Symbol" w:cs="Arial"/>
          <w:sz w:val="24"/>
          <w:szCs w:val="24"/>
        </w:rPr>
      </w:pPr>
      <w:r w:rsidRPr="00B676A7">
        <w:rPr>
          <w:rFonts w:ascii="Segoe UI Symbol" w:hAnsi="Segoe UI Symbol" w:cs="Arial"/>
          <w:sz w:val="24"/>
          <w:szCs w:val="24"/>
        </w:rPr>
        <w:t>The revised stable-only development is therefore considered acceptable in flood-risk terms and represents a less extensive and potentially less consequential form of development than the scheme originally assessed.</w:t>
      </w: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102F3855" w14:textId="77777777" w:rsidR="00D043EB" w:rsidRDefault="00D043EB">
      <w:pPr>
        <w:spacing w:after="0" w:line="240" w:lineRule="auto"/>
        <w:rPr>
          <w:rFonts w:ascii="Segoe UI Symbol" w:hAnsi="Segoe UI Symbol" w:cs="Arial"/>
          <w:sz w:val="24"/>
          <w:szCs w:val="24"/>
        </w:rPr>
      </w:pPr>
    </w:p>
    <w:p w14:paraId="12188B9B" w14:textId="77777777" w:rsidR="00D043EB" w:rsidRDefault="00D043EB">
      <w:pPr>
        <w:spacing w:after="0" w:line="240" w:lineRule="auto"/>
        <w:rPr>
          <w:rFonts w:ascii="Segoe UI Symbol" w:hAnsi="Segoe UI Symbol" w:cs="Arial"/>
          <w:sz w:val="24"/>
          <w:szCs w:val="24"/>
        </w:rPr>
      </w:pPr>
    </w:p>
    <w:p w14:paraId="52B079F9" w14:textId="77777777" w:rsidR="00D043EB" w:rsidRDefault="00D043EB">
      <w:pPr>
        <w:spacing w:after="0" w:line="240" w:lineRule="auto"/>
        <w:rPr>
          <w:rFonts w:ascii="Segoe UI Symbol" w:hAnsi="Segoe UI Symbol" w:cs="Arial"/>
          <w:sz w:val="24"/>
          <w:szCs w:val="24"/>
        </w:rPr>
      </w:pPr>
    </w:p>
    <w:p w14:paraId="6A0A2872" w14:textId="77777777" w:rsidR="00D043EB" w:rsidRDefault="00D043EB">
      <w:pPr>
        <w:spacing w:after="0" w:line="240" w:lineRule="auto"/>
        <w:rPr>
          <w:rFonts w:ascii="Segoe UI Symbol" w:hAnsi="Segoe UI Symbol" w:cs="Arial"/>
          <w:sz w:val="24"/>
          <w:szCs w:val="24"/>
        </w:rPr>
      </w:pPr>
    </w:p>
    <w:p w14:paraId="22BE8737" w14:textId="77777777" w:rsidR="00D043EB" w:rsidRDefault="00D043EB">
      <w:pPr>
        <w:spacing w:after="0" w:line="240" w:lineRule="auto"/>
        <w:rPr>
          <w:rFonts w:ascii="Segoe UI Symbol" w:hAnsi="Segoe UI Symbol" w:cs="Arial"/>
          <w:sz w:val="24"/>
          <w:szCs w:val="24"/>
        </w:rPr>
      </w:pPr>
    </w:p>
    <w:p w14:paraId="02560EBE" w14:textId="77777777" w:rsidR="00D043EB" w:rsidRDefault="00D043EB">
      <w:pPr>
        <w:spacing w:after="0" w:line="240" w:lineRule="auto"/>
        <w:rPr>
          <w:rFonts w:ascii="Segoe UI Symbol" w:hAnsi="Segoe UI Symbol" w:cs="Arial"/>
          <w:sz w:val="24"/>
          <w:szCs w:val="24"/>
        </w:rPr>
      </w:pP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955C" w14:textId="77777777" w:rsidR="00BB25EE" w:rsidRDefault="00BB25EE" w:rsidP="005D25C1">
      <w:pPr>
        <w:spacing w:after="0" w:line="240" w:lineRule="auto"/>
      </w:pPr>
      <w:r>
        <w:separator/>
      </w:r>
    </w:p>
  </w:endnote>
  <w:endnote w:type="continuationSeparator" w:id="0">
    <w:p w14:paraId="4C434C52" w14:textId="77777777" w:rsidR="00BB25EE" w:rsidRDefault="00BB25EE"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41747" w14:textId="77777777" w:rsidR="00BB25EE" w:rsidRDefault="00BB25EE" w:rsidP="005D25C1">
      <w:pPr>
        <w:spacing w:after="0" w:line="240" w:lineRule="auto"/>
      </w:pPr>
      <w:r>
        <w:separator/>
      </w:r>
    </w:p>
  </w:footnote>
  <w:footnote w:type="continuationSeparator" w:id="0">
    <w:p w14:paraId="2F2B8737" w14:textId="77777777" w:rsidR="00BB25EE" w:rsidRDefault="00BB25EE"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C4B41"/>
    <w:rsid w:val="00323C90"/>
    <w:rsid w:val="00341401"/>
    <w:rsid w:val="0038335C"/>
    <w:rsid w:val="003C5CFC"/>
    <w:rsid w:val="003E0599"/>
    <w:rsid w:val="003E7E17"/>
    <w:rsid w:val="00471689"/>
    <w:rsid w:val="00486E86"/>
    <w:rsid w:val="005300AA"/>
    <w:rsid w:val="005349AD"/>
    <w:rsid w:val="0058091C"/>
    <w:rsid w:val="005A2512"/>
    <w:rsid w:val="005C38B2"/>
    <w:rsid w:val="005D25C1"/>
    <w:rsid w:val="005E407A"/>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8639C"/>
    <w:rsid w:val="009B6916"/>
    <w:rsid w:val="009C3A67"/>
    <w:rsid w:val="00A334C9"/>
    <w:rsid w:val="00A34BF4"/>
    <w:rsid w:val="00A45B12"/>
    <w:rsid w:val="00B04466"/>
    <w:rsid w:val="00B168A6"/>
    <w:rsid w:val="00B33F0C"/>
    <w:rsid w:val="00B676A7"/>
    <w:rsid w:val="00B7187A"/>
    <w:rsid w:val="00B71AFA"/>
    <w:rsid w:val="00BB25EE"/>
    <w:rsid w:val="00BD3394"/>
    <w:rsid w:val="00C01468"/>
    <w:rsid w:val="00C03D3E"/>
    <w:rsid w:val="00C1045E"/>
    <w:rsid w:val="00C11A72"/>
    <w:rsid w:val="00C46844"/>
    <w:rsid w:val="00C60A0D"/>
    <w:rsid w:val="00C75486"/>
    <w:rsid w:val="00CE79D0"/>
    <w:rsid w:val="00CE7D50"/>
    <w:rsid w:val="00D043EB"/>
    <w:rsid w:val="00D1177A"/>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B676A7"/>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B676A7"/>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2</TotalTime>
  <Pages>7</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2</cp:revision>
  <cp:lastPrinted>2011-08-04T13:01:00Z</cp:lastPrinted>
  <dcterms:created xsi:type="dcterms:W3CDTF">2026-08-25T08:47:00Z</dcterms:created>
  <dcterms:modified xsi:type="dcterms:W3CDTF">2026-08-25T08:47:00Z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