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AAE59" w14:textId="277F121B" w:rsidR="00993ED4" w:rsidRPr="0053448E" w:rsidRDefault="00FF79EC" w:rsidP="0053448E">
      <w:pPr>
        <w:autoSpaceDE w:val="0"/>
        <w:autoSpaceDN w:val="0"/>
        <w:adjustRightInd w:val="0"/>
        <w:spacing w:after="0"/>
        <w:rPr>
          <w:rFonts w:ascii="Arial" w:eastAsia="ArialMT" w:hAnsi="Arial" w:cs="Arial"/>
          <w:color w:val="000000"/>
        </w:rPr>
      </w:pPr>
      <w:r w:rsidRPr="0053448E">
        <w:rPr>
          <w:rStyle w:val="fontstyle21"/>
          <w:rFonts w:ascii="Arial" w:hAnsi="Arial" w:cs="Arial"/>
          <w:b/>
        </w:rPr>
        <w:t>APP/</w:t>
      </w:r>
      <w:r w:rsidR="00993ED4" w:rsidRPr="0053448E">
        <w:rPr>
          <w:rStyle w:val="fontstyle21"/>
          <w:rFonts w:ascii="Arial" w:hAnsi="Arial" w:cs="Arial"/>
          <w:b/>
        </w:rPr>
        <w:t xml:space="preserve">26/00324 </w:t>
      </w:r>
      <w:r w:rsidR="00993ED4" w:rsidRPr="0053448E">
        <w:rPr>
          <w:rFonts w:ascii="Arial" w:eastAsia="ArialMT" w:hAnsi="Arial" w:cs="Arial"/>
          <w:b/>
          <w:bCs/>
          <w:color w:val="000000"/>
        </w:rPr>
        <w:t>Land to the east of Denvilles, Havant, known as Southleigh</w:t>
      </w:r>
    </w:p>
    <w:p w14:paraId="3840FAD0" w14:textId="77777777" w:rsidR="00993ED4" w:rsidRPr="0053448E" w:rsidRDefault="00993ED4" w:rsidP="0053448E">
      <w:pPr>
        <w:autoSpaceDE w:val="0"/>
        <w:autoSpaceDN w:val="0"/>
        <w:adjustRightInd w:val="0"/>
        <w:spacing w:after="0"/>
        <w:rPr>
          <w:rFonts w:ascii="Arial" w:eastAsia="ArialMT" w:hAnsi="Arial" w:cs="Arial"/>
          <w:color w:val="000000"/>
        </w:rPr>
      </w:pPr>
    </w:p>
    <w:p w14:paraId="325F96E0" w14:textId="77777777" w:rsidR="00993ED4" w:rsidRPr="0053448E" w:rsidRDefault="00993ED4" w:rsidP="0053448E">
      <w:pPr>
        <w:rPr>
          <w:rFonts w:ascii="Arial" w:eastAsia="ArialMT" w:hAnsi="Arial" w:cs="Arial"/>
          <w:color w:val="000000"/>
        </w:rPr>
      </w:pPr>
      <w:r w:rsidRPr="00DC0481">
        <w:rPr>
          <w:rFonts w:ascii="Arial" w:eastAsia="ArialMT" w:hAnsi="Arial" w:cs="Arial"/>
          <w:b/>
          <w:bCs/>
          <w:color w:val="000000"/>
        </w:rPr>
        <w:t>Proposed Development:</w:t>
      </w:r>
      <w:r w:rsidRPr="00DC0481">
        <w:rPr>
          <w:rFonts w:ascii="Arial" w:eastAsia="ArialMT" w:hAnsi="Arial" w:cs="Arial"/>
          <w:color w:val="000000"/>
        </w:rPr>
        <w:t> </w:t>
      </w:r>
      <w:r w:rsidRPr="0053448E">
        <w:rPr>
          <w:rFonts w:ascii="Arial" w:eastAsia="ArialMT" w:hAnsi="Arial" w:cs="Arial"/>
          <w:color w:val="000000"/>
        </w:rPr>
        <w:t>Outline planning application, with all matters reserved except for means of vehicular access to the public highway and associated highway improvements, for: the demolition of existing buildings; the erection of new residential dwellings (C3); a Local Centre (comprising local retail (E(a)), financial and professional services (E(c)(</w:t>
      </w:r>
      <w:proofErr w:type="spellStart"/>
      <w:r w:rsidRPr="0053448E">
        <w:rPr>
          <w:rFonts w:ascii="Arial" w:eastAsia="ArialMT" w:hAnsi="Arial" w:cs="Arial"/>
          <w:color w:val="000000"/>
        </w:rPr>
        <w:t>i</w:t>
      </w:r>
      <w:proofErr w:type="spellEnd"/>
      <w:r w:rsidRPr="0053448E">
        <w:rPr>
          <w:rFonts w:ascii="Arial" w:eastAsia="ArialMT" w:hAnsi="Arial" w:cs="Arial"/>
          <w:color w:val="000000"/>
        </w:rPr>
        <w:t>), E(c)(ii), E(c)(iii)), restaurants, cafés, and drinking establishments (E(b) and Sui Generis), hot food takeaways (Sui Generis), medical services (E(e)), offices (E(g)(</w:t>
      </w:r>
      <w:proofErr w:type="spellStart"/>
      <w:r w:rsidRPr="0053448E">
        <w:rPr>
          <w:rFonts w:ascii="Arial" w:eastAsia="ArialMT" w:hAnsi="Arial" w:cs="Arial"/>
          <w:color w:val="000000"/>
        </w:rPr>
        <w:t>i</w:t>
      </w:r>
      <w:proofErr w:type="spellEnd"/>
      <w:r w:rsidRPr="0053448E">
        <w:rPr>
          <w:rFonts w:ascii="Arial" w:eastAsia="ArialMT" w:hAnsi="Arial" w:cs="Arial"/>
          <w:color w:val="000000"/>
        </w:rPr>
        <w:t>)) and community facilities ((E(d)), E(f), F2(b), F2(c))); a Primary School (F1(a)); early years provision (E(f)); informal and formal public open space including community park; community food-growing space; Active Travel routes; drainage infrastructure; utilities infrastructure; and all other associated and necessary infrastructure. Accompanied by an Environmental Statement.</w:t>
      </w:r>
    </w:p>
    <w:p w14:paraId="404E4FB0" w14:textId="147CAE2A" w:rsidR="00653827" w:rsidRPr="0053448E" w:rsidRDefault="00653827" w:rsidP="0053448E">
      <w:pPr>
        <w:rPr>
          <w:rFonts w:ascii="Arial" w:eastAsia="ArialMT" w:hAnsi="Arial" w:cs="Arial"/>
          <w:b/>
          <w:bCs/>
          <w:color w:val="000000"/>
          <w:u w:val="single"/>
        </w:rPr>
      </w:pPr>
      <w:r w:rsidRPr="0053448E">
        <w:rPr>
          <w:rFonts w:ascii="Arial" w:eastAsia="ArialMT" w:hAnsi="Arial" w:cs="Arial"/>
          <w:b/>
          <w:bCs/>
          <w:color w:val="000000"/>
          <w:u w:val="single"/>
        </w:rPr>
        <w:t>CIL</w:t>
      </w:r>
    </w:p>
    <w:p w14:paraId="547EEFE8" w14:textId="12A60F66" w:rsidR="00041548" w:rsidRPr="0053448E" w:rsidRDefault="00041548" w:rsidP="0053448E">
      <w:pPr>
        <w:autoSpaceDE w:val="0"/>
        <w:autoSpaceDN w:val="0"/>
        <w:adjustRightInd w:val="0"/>
        <w:spacing w:after="0"/>
        <w:rPr>
          <w:rFonts w:ascii="Arial" w:hAnsi="Arial" w:cs="Arial"/>
        </w:rPr>
      </w:pPr>
      <w:r w:rsidRPr="0053448E">
        <w:rPr>
          <w:rFonts w:ascii="Arial" w:hAnsi="Arial" w:cs="Arial"/>
        </w:rPr>
        <w:t>This application is not CIL liable, but any subsequent full or reserved matters application would be.</w:t>
      </w:r>
      <w:r w:rsidR="00686835" w:rsidRPr="0053448E">
        <w:rPr>
          <w:rFonts w:ascii="Arial" w:hAnsi="Arial" w:cs="Arial"/>
        </w:rPr>
        <w:t xml:space="preserve"> The current CIL Charging Schedule was implemented on 1 August 2013 and has not been updated.</w:t>
      </w:r>
    </w:p>
    <w:p w14:paraId="62DB4E65" w14:textId="77777777" w:rsidR="00686835" w:rsidRPr="0053448E" w:rsidRDefault="00686835" w:rsidP="0053448E">
      <w:pPr>
        <w:autoSpaceDE w:val="0"/>
        <w:autoSpaceDN w:val="0"/>
        <w:adjustRightInd w:val="0"/>
        <w:spacing w:after="0"/>
        <w:rPr>
          <w:rFonts w:ascii="Arial" w:hAnsi="Arial" w:cs="Arial"/>
        </w:rPr>
      </w:pPr>
    </w:p>
    <w:p w14:paraId="54743D56" w14:textId="568CB9EF" w:rsidR="00686835" w:rsidRPr="00EC0BA5" w:rsidRDefault="00686835" w:rsidP="0053448E">
      <w:pPr>
        <w:autoSpaceDE w:val="0"/>
        <w:autoSpaceDN w:val="0"/>
        <w:adjustRightInd w:val="0"/>
        <w:spacing w:after="0"/>
        <w:rPr>
          <w:rFonts w:ascii="Arial" w:hAnsi="Arial" w:cs="Arial"/>
          <w:b/>
          <w:bCs/>
        </w:rPr>
      </w:pPr>
      <w:r w:rsidRPr="00EC0BA5">
        <w:rPr>
          <w:rFonts w:ascii="Arial" w:hAnsi="Arial" w:cs="Arial"/>
          <w:b/>
          <w:bCs/>
        </w:rPr>
        <w:t>If the development is to be phased this needs to be agreed at the outline stage and be express</w:t>
      </w:r>
      <w:r w:rsidR="004A1279" w:rsidRPr="00EC0BA5">
        <w:rPr>
          <w:rFonts w:ascii="Arial" w:hAnsi="Arial" w:cs="Arial"/>
          <w:b/>
          <w:bCs/>
        </w:rPr>
        <w:t xml:space="preserve">ly </w:t>
      </w:r>
      <w:r w:rsidRPr="00EC0BA5">
        <w:rPr>
          <w:rFonts w:ascii="Arial" w:hAnsi="Arial" w:cs="Arial"/>
          <w:b/>
          <w:bCs/>
        </w:rPr>
        <w:t>stated in the planning permission through an approved phasing plan and phasing condition.</w:t>
      </w:r>
    </w:p>
    <w:p w14:paraId="24C67A57" w14:textId="77777777" w:rsidR="00041548" w:rsidRPr="0053448E" w:rsidRDefault="00041548" w:rsidP="0053448E">
      <w:pPr>
        <w:autoSpaceDE w:val="0"/>
        <w:autoSpaceDN w:val="0"/>
        <w:adjustRightInd w:val="0"/>
        <w:spacing w:after="0"/>
        <w:rPr>
          <w:rFonts w:ascii="Arial" w:hAnsi="Arial" w:cs="Arial"/>
          <w:b/>
        </w:rPr>
      </w:pPr>
    </w:p>
    <w:p w14:paraId="6D501406" w14:textId="77777777" w:rsidR="00041548" w:rsidRPr="0053448E" w:rsidRDefault="00041548" w:rsidP="0053448E">
      <w:pPr>
        <w:rPr>
          <w:rFonts w:ascii="Arial" w:hAnsi="Arial" w:cs="Arial"/>
        </w:rPr>
      </w:pPr>
      <w:r w:rsidRPr="0053448E">
        <w:rPr>
          <w:rFonts w:ascii="Arial" w:hAnsi="Arial" w:cs="Arial"/>
        </w:rPr>
        <w:t xml:space="preserve">The CIL rate is set out in our Charging Schedule: </w:t>
      </w:r>
      <w:hyperlink r:id="rId7" w:history="1">
        <w:r w:rsidRPr="0053448E">
          <w:rPr>
            <w:rStyle w:val="Hyperlink"/>
            <w:rFonts w:ascii="Arial" w:hAnsi="Arial" w:cs="Arial"/>
            <w:color w:val="auto"/>
          </w:rPr>
          <w:t>http://www.havant.gov.uk/sites/default/files/documents/HBC%20CIL%20Charging%20Schedule%20Full%20Document%20Feb%202013.pdf</w:t>
        </w:r>
      </w:hyperlink>
    </w:p>
    <w:p w14:paraId="341D21C4" w14:textId="77777777" w:rsidR="00041548" w:rsidRPr="0053448E" w:rsidRDefault="00041548" w:rsidP="0053448E">
      <w:pPr>
        <w:rPr>
          <w:rFonts w:ascii="Arial" w:hAnsi="Arial" w:cs="Arial"/>
        </w:rPr>
      </w:pPr>
      <w:r w:rsidRPr="0053448E">
        <w:rPr>
          <w:rFonts w:ascii="Arial" w:hAnsi="Arial" w:cs="Arial"/>
        </w:rPr>
        <w:t xml:space="preserve">The amounts in the Charging Schedule are indexed according to the year in which the CIL liable permission is issued. </w:t>
      </w:r>
    </w:p>
    <w:p w14:paraId="5CA53225" w14:textId="35A65289" w:rsidR="00041548" w:rsidRPr="0053448E" w:rsidRDefault="00041548" w:rsidP="0053448E">
      <w:pPr>
        <w:rPr>
          <w:rFonts w:ascii="Arial" w:hAnsi="Arial" w:cs="Arial"/>
        </w:rPr>
      </w:pPr>
      <w:r w:rsidRPr="0053448E">
        <w:rPr>
          <w:rFonts w:ascii="Arial" w:hAnsi="Arial" w:cs="Arial"/>
        </w:rPr>
        <w:t xml:space="preserve">The subsequent </w:t>
      </w:r>
      <w:r w:rsidR="004329E5">
        <w:rPr>
          <w:rFonts w:ascii="Arial" w:hAnsi="Arial" w:cs="Arial"/>
        </w:rPr>
        <w:t xml:space="preserve">reserved matters </w:t>
      </w:r>
      <w:r w:rsidRPr="0053448E">
        <w:rPr>
          <w:rFonts w:ascii="Arial" w:hAnsi="Arial" w:cs="Arial"/>
        </w:rPr>
        <w:t>application would need to be accompanied by:</w:t>
      </w:r>
    </w:p>
    <w:p w14:paraId="48819C65" w14:textId="77777777" w:rsidR="00041548" w:rsidRPr="0053448E" w:rsidRDefault="00041548" w:rsidP="0053448E">
      <w:pPr>
        <w:pStyle w:val="ListParagraph"/>
        <w:numPr>
          <w:ilvl w:val="0"/>
          <w:numId w:val="2"/>
        </w:numPr>
        <w:rPr>
          <w:rFonts w:ascii="Arial" w:hAnsi="Arial" w:cs="Arial"/>
        </w:rPr>
      </w:pPr>
      <w:r w:rsidRPr="0053448E">
        <w:rPr>
          <w:rFonts w:ascii="Arial" w:hAnsi="Arial" w:cs="Arial"/>
        </w:rPr>
        <w:t>CIL Form 1: CIL Additional Information (and Schedule of Accommodation to support figures provided)</w:t>
      </w:r>
      <w:r w:rsidRPr="0053448E">
        <w:rPr>
          <w:rFonts w:ascii="Arial" w:hAnsi="Arial" w:cs="Arial"/>
        </w:rPr>
        <w:tab/>
      </w:r>
      <w:r w:rsidRPr="0053448E">
        <w:rPr>
          <w:rFonts w:ascii="Arial" w:hAnsi="Arial" w:cs="Arial"/>
        </w:rPr>
        <w:tab/>
      </w:r>
    </w:p>
    <w:p w14:paraId="2F599833" w14:textId="77777777" w:rsidR="00041548" w:rsidRPr="0053448E" w:rsidRDefault="00041548" w:rsidP="0053448E">
      <w:pPr>
        <w:pStyle w:val="ListParagraph"/>
        <w:numPr>
          <w:ilvl w:val="0"/>
          <w:numId w:val="2"/>
        </w:numPr>
        <w:rPr>
          <w:rFonts w:ascii="Arial" w:hAnsi="Arial" w:cs="Arial"/>
        </w:rPr>
      </w:pPr>
      <w:r w:rsidRPr="0053448E">
        <w:rPr>
          <w:rFonts w:ascii="Arial" w:hAnsi="Arial" w:cs="Arial"/>
        </w:rPr>
        <w:t xml:space="preserve">CIL Form 2: Assumption of Liability </w:t>
      </w:r>
    </w:p>
    <w:p w14:paraId="1B309746" w14:textId="77777777" w:rsidR="00041548" w:rsidRPr="0053448E" w:rsidRDefault="00041548" w:rsidP="0053448E">
      <w:pPr>
        <w:pStyle w:val="ListParagraph"/>
        <w:numPr>
          <w:ilvl w:val="0"/>
          <w:numId w:val="2"/>
        </w:numPr>
        <w:rPr>
          <w:rFonts w:ascii="Arial" w:hAnsi="Arial" w:cs="Arial"/>
          <w:u w:val="single"/>
        </w:rPr>
      </w:pPr>
      <w:r w:rsidRPr="0053448E">
        <w:rPr>
          <w:rFonts w:ascii="Arial" w:hAnsi="Arial" w:cs="Arial"/>
        </w:rPr>
        <w:t>Form 10: Charitable and/or Social Housing Relief Claim Form</w:t>
      </w:r>
    </w:p>
    <w:p w14:paraId="32281B7E" w14:textId="77777777" w:rsidR="00041548" w:rsidRPr="0053448E" w:rsidRDefault="00041548" w:rsidP="0053448E">
      <w:pPr>
        <w:rPr>
          <w:rFonts w:ascii="Arial" w:hAnsi="Arial" w:cs="Arial"/>
        </w:rPr>
      </w:pPr>
      <w:r w:rsidRPr="0053448E">
        <w:rPr>
          <w:rFonts w:ascii="Arial" w:hAnsi="Arial" w:cs="Arial"/>
        </w:rPr>
        <w:t>Further information on CIL including relief in respect of affordable housing can be found on the Planning Portal</w:t>
      </w:r>
      <w:r w:rsidRPr="0053448E">
        <w:rPr>
          <w:rStyle w:val="Hyperlink"/>
          <w:rFonts w:ascii="Arial" w:hAnsi="Arial" w:cs="Arial"/>
          <w:color w:val="auto"/>
          <w:u w:val="none"/>
        </w:rPr>
        <w:t xml:space="preserve">: </w:t>
      </w:r>
      <w:hyperlink r:id="rId8" w:history="1">
        <w:r w:rsidRPr="0053448E">
          <w:rPr>
            <w:rStyle w:val="Hyperlink"/>
            <w:rFonts w:ascii="Arial" w:hAnsi="Arial" w:cs="Arial"/>
          </w:rPr>
          <w:t>https://www.planningportal.co.uk/planning/policy-and-legislation/CIL/relief-exemption-and-phase-credits</w:t>
        </w:r>
      </w:hyperlink>
    </w:p>
    <w:p w14:paraId="26944938" w14:textId="60E3EE72" w:rsidR="00AF57BE" w:rsidRPr="0053448E" w:rsidRDefault="00AF57BE" w:rsidP="0053448E">
      <w:pPr>
        <w:rPr>
          <w:rStyle w:val="Hyperlink"/>
          <w:rFonts w:ascii="Arial" w:hAnsi="Arial" w:cs="Arial"/>
          <w:b/>
          <w:color w:val="auto"/>
        </w:rPr>
      </w:pPr>
      <w:r w:rsidRPr="0053448E">
        <w:rPr>
          <w:rStyle w:val="Hyperlink"/>
          <w:rFonts w:ascii="Arial" w:hAnsi="Arial" w:cs="Arial"/>
          <w:b/>
          <w:color w:val="auto"/>
        </w:rPr>
        <w:t>S106</w:t>
      </w:r>
    </w:p>
    <w:p w14:paraId="06A548C2" w14:textId="4A82E6BA" w:rsidR="005B56A3" w:rsidRPr="00DB0D76" w:rsidRDefault="005B56A3" w:rsidP="0053448E">
      <w:pPr>
        <w:autoSpaceDE w:val="0"/>
        <w:autoSpaceDN w:val="0"/>
        <w:adjustRightInd w:val="0"/>
        <w:spacing w:after="0"/>
        <w:rPr>
          <w:rFonts w:ascii="Arial" w:hAnsi="Arial" w:cs="Arial"/>
        </w:rPr>
      </w:pPr>
      <w:r w:rsidRPr="00DB0D76">
        <w:rPr>
          <w:rFonts w:ascii="Arial" w:hAnsi="Arial" w:cs="Arial"/>
        </w:rPr>
        <w:t>Subject to statutory consultee responses we would expect the S106 to include</w:t>
      </w:r>
      <w:r w:rsidR="001C4EB1">
        <w:rPr>
          <w:rFonts w:ascii="Arial" w:hAnsi="Arial" w:cs="Arial"/>
        </w:rPr>
        <w:t>:</w:t>
      </w:r>
    </w:p>
    <w:p w14:paraId="760D6DC0" w14:textId="77777777" w:rsidR="006D5554" w:rsidRPr="00DB0D76" w:rsidRDefault="006D5554" w:rsidP="0053448E">
      <w:pPr>
        <w:autoSpaceDE w:val="0"/>
        <w:autoSpaceDN w:val="0"/>
        <w:adjustRightInd w:val="0"/>
        <w:spacing w:after="0"/>
        <w:rPr>
          <w:rFonts w:ascii="Arial" w:hAnsi="Arial" w:cs="Arial"/>
          <w:b/>
        </w:rPr>
      </w:pPr>
    </w:p>
    <w:p w14:paraId="7C38495F" w14:textId="77777777" w:rsidR="006D5554" w:rsidRPr="00DB0D76" w:rsidRDefault="006D5554" w:rsidP="0053448E">
      <w:pPr>
        <w:pStyle w:val="ListParagraph"/>
        <w:numPr>
          <w:ilvl w:val="0"/>
          <w:numId w:val="1"/>
        </w:numPr>
        <w:rPr>
          <w:rFonts w:ascii="Arial" w:hAnsi="Arial" w:cs="Arial"/>
        </w:rPr>
      </w:pPr>
      <w:r w:rsidRPr="00DB0D76">
        <w:rPr>
          <w:rFonts w:ascii="Arial" w:hAnsi="Arial" w:cs="Arial"/>
        </w:rPr>
        <w:t xml:space="preserve">Affordable Housing </w:t>
      </w:r>
    </w:p>
    <w:p w14:paraId="1663ADA3" w14:textId="77777777" w:rsidR="006D5554" w:rsidRPr="00DB0D76" w:rsidRDefault="006D5554" w:rsidP="0053448E">
      <w:pPr>
        <w:pStyle w:val="ListParagraph"/>
        <w:numPr>
          <w:ilvl w:val="0"/>
          <w:numId w:val="1"/>
        </w:numPr>
        <w:rPr>
          <w:rFonts w:ascii="Arial" w:hAnsi="Arial" w:cs="Arial"/>
        </w:rPr>
      </w:pPr>
      <w:r w:rsidRPr="00DB0D76">
        <w:rPr>
          <w:rFonts w:ascii="Arial" w:hAnsi="Arial" w:cs="Arial"/>
        </w:rPr>
        <w:t>HBC Monitoring Fees*</w:t>
      </w:r>
    </w:p>
    <w:p w14:paraId="0908FDE4" w14:textId="77777777" w:rsidR="006D5554" w:rsidRDefault="006D5554" w:rsidP="0053448E">
      <w:pPr>
        <w:pStyle w:val="ListParagraph"/>
        <w:numPr>
          <w:ilvl w:val="0"/>
          <w:numId w:val="1"/>
        </w:numPr>
        <w:rPr>
          <w:rFonts w:ascii="Arial" w:hAnsi="Arial" w:cs="Arial"/>
        </w:rPr>
      </w:pPr>
      <w:r w:rsidRPr="00DB0D76">
        <w:rPr>
          <w:rFonts w:ascii="Arial" w:hAnsi="Arial" w:cs="Arial"/>
        </w:rPr>
        <w:t>HCC Monitoring Fees</w:t>
      </w:r>
    </w:p>
    <w:p w14:paraId="1BE9B70A" w14:textId="54880CA2" w:rsidR="00511078" w:rsidRDefault="00511078" w:rsidP="0053448E">
      <w:pPr>
        <w:pStyle w:val="ListParagraph"/>
        <w:numPr>
          <w:ilvl w:val="0"/>
          <w:numId w:val="1"/>
        </w:numPr>
        <w:rPr>
          <w:rFonts w:ascii="Arial" w:hAnsi="Arial" w:cs="Arial"/>
        </w:rPr>
      </w:pPr>
      <w:r>
        <w:rPr>
          <w:rFonts w:ascii="Arial" w:hAnsi="Arial" w:cs="Arial"/>
        </w:rPr>
        <w:t>Delivery of Public Open Space/Community Park/NEAPs/LEAPs/LAPs</w:t>
      </w:r>
    </w:p>
    <w:p w14:paraId="7F643AC5" w14:textId="61E4BB0D" w:rsidR="00430830" w:rsidRPr="00DB0D76" w:rsidRDefault="00430830" w:rsidP="0053448E">
      <w:pPr>
        <w:pStyle w:val="ListParagraph"/>
        <w:numPr>
          <w:ilvl w:val="0"/>
          <w:numId w:val="1"/>
        </w:numPr>
        <w:rPr>
          <w:rFonts w:ascii="Arial" w:hAnsi="Arial" w:cs="Arial"/>
        </w:rPr>
      </w:pPr>
      <w:r>
        <w:rPr>
          <w:rFonts w:ascii="Arial" w:hAnsi="Arial" w:cs="Arial"/>
        </w:rPr>
        <w:t>Public Realm</w:t>
      </w:r>
      <w:r w:rsidR="00EC0BA5">
        <w:rPr>
          <w:rFonts w:ascii="Arial" w:hAnsi="Arial" w:cs="Arial"/>
        </w:rPr>
        <w:t xml:space="preserve"> (may include Art)</w:t>
      </w:r>
    </w:p>
    <w:p w14:paraId="3900C5BB" w14:textId="7F943CCA" w:rsidR="006D5554" w:rsidRPr="00DB0D76" w:rsidRDefault="006D5554" w:rsidP="0053448E">
      <w:pPr>
        <w:pStyle w:val="ListParagraph"/>
        <w:numPr>
          <w:ilvl w:val="0"/>
          <w:numId w:val="1"/>
        </w:numPr>
        <w:rPr>
          <w:rFonts w:ascii="Arial" w:hAnsi="Arial" w:cs="Arial"/>
        </w:rPr>
      </w:pPr>
      <w:r w:rsidRPr="00DB0D76">
        <w:rPr>
          <w:rFonts w:ascii="Arial" w:hAnsi="Arial" w:cs="Arial"/>
        </w:rPr>
        <w:lastRenderedPageBreak/>
        <w:t>Management Company and Management Plan (may include SUDS)</w:t>
      </w:r>
      <w:r w:rsidR="00511078">
        <w:rPr>
          <w:rFonts w:ascii="Arial" w:hAnsi="Arial" w:cs="Arial"/>
        </w:rPr>
        <w:t>, to include maintenance and management of (4.)</w:t>
      </w:r>
    </w:p>
    <w:p w14:paraId="6DAE6FB9" w14:textId="25D45CDE" w:rsidR="006D5554" w:rsidRPr="00DB0D76" w:rsidRDefault="00430830" w:rsidP="0053448E">
      <w:pPr>
        <w:pStyle w:val="ListParagraph"/>
        <w:numPr>
          <w:ilvl w:val="0"/>
          <w:numId w:val="1"/>
        </w:numPr>
        <w:rPr>
          <w:rFonts w:ascii="Arial" w:hAnsi="Arial" w:cs="Arial"/>
        </w:rPr>
      </w:pPr>
      <w:r>
        <w:rPr>
          <w:rFonts w:ascii="Arial" w:hAnsi="Arial" w:cs="Arial"/>
        </w:rPr>
        <w:t xml:space="preserve">Bird Aware Solent Revised </w:t>
      </w:r>
      <w:r w:rsidR="006D5554" w:rsidRPr="00DB0D76">
        <w:rPr>
          <w:rFonts w:ascii="Arial" w:hAnsi="Arial" w:cs="Arial"/>
        </w:rPr>
        <w:t>Strategy</w:t>
      </w:r>
      <w:r w:rsidR="00E57073" w:rsidRPr="00DB0D76">
        <w:rPr>
          <w:rFonts w:ascii="Arial" w:hAnsi="Arial" w:cs="Arial"/>
        </w:rPr>
        <w:t>**</w:t>
      </w:r>
    </w:p>
    <w:p w14:paraId="5800EF69" w14:textId="032A7D96" w:rsidR="006D5554" w:rsidRPr="00DB0D76" w:rsidRDefault="006D5554" w:rsidP="006A34D2">
      <w:pPr>
        <w:pStyle w:val="ListParagraph"/>
        <w:numPr>
          <w:ilvl w:val="0"/>
          <w:numId w:val="1"/>
        </w:numPr>
        <w:rPr>
          <w:rFonts w:ascii="Arial" w:hAnsi="Arial" w:cs="Arial"/>
        </w:rPr>
      </w:pPr>
      <w:r w:rsidRPr="00DB0D76">
        <w:rPr>
          <w:rFonts w:ascii="Arial" w:hAnsi="Arial" w:cs="Arial"/>
        </w:rPr>
        <w:t>Nutrient Neutrality</w:t>
      </w:r>
      <w:r w:rsidR="006C012C" w:rsidRPr="00DB0D76">
        <w:rPr>
          <w:rFonts w:ascii="Arial" w:hAnsi="Arial" w:cs="Arial"/>
        </w:rPr>
        <w:t>***</w:t>
      </w:r>
      <w:r w:rsidRPr="00DB0D76">
        <w:rPr>
          <w:rFonts w:ascii="Arial" w:hAnsi="Arial" w:cs="Arial"/>
        </w:rPr>
        <w:t xml:space="preserve">, if it is not possible to fully mitigate the scheme’s impact on site, the applicant will need to find a mitigation scheme. The details of schemes have been published on the Partnership for South Hampshire’s website at </w:t>
      </w:r>
      <w:hyperlink r:id="rId9" w:history="1">
        <w:r w:rsidRPr="00DB0D76">
          <w:rPr>
            <w:rStyle w:val="Hyperlink"/>
            <w:rFonts w:ascii="Arial" w:hAnsi="Arial" w:cs="Arial"/>
            <w:color w:val="auto"/>
          </w:rPr>
          <w:t>https://www.push.gov.uk/work/mitigation-schemes-available-to-developers/</w:t>
        </w:r>
      </w:hyperlink>
      <w:r w:rsidR="00877166" w:rsidRPr="00DB0D76">
        <w:rPr>
          <w:rFonts w:ascii="Arial" w:hAnsi="Arial" w:cs="Arial"/>
        </w:rPr>
        <w:t xml:space="preserve">. </w:t>
      </w:r>
      <w:r w:rsidR="00214EDF" w:rsidRPr="00DB0D76">
        <w:rPr>
          <w:rFonts w:ascii="Arial" w:hAnsi="Arial" w:cs="Arial"/>
        </w:rPr>
        <w:t>There is a separate charge to monitor third party agreements (see bottom of page). We currently have S33 Agreements with Knowle Farm, Warnford Park Estate and Whitewool Farm.</w:t>
      </w:r>
    </w:p>
    <w:p w14:paraId="36ED7BDE" w14:textId="6604DD92" w:rsidR="006D5554" w:rsidRPr="00DB0D76" w:rsidRDefault="006D5554" w:rsidP="0053448E">
      <w:pPr>
        <w:pStyle w:val="ListParagraph"/>
        <w:numPr>
          <w:ilvl w:val="0"/>
          <w:numId w:val="1"/>
        </w:numPr>
        <w:rPr>
          <w:rFonts w:ascii="Arial" w:hAnsi="Arial" w:cs="Arial"/>
        </w:rPr>
      </w:pPr>
      <w:r w:rsidRPr="00DB0D76">
        <w:rPr>
          <w:rFonts w:ascii="Arial" w:hAnsi="Arial" w:cs="Arial"/>
        </w:rPr>
        <w:t>SUDS/SUDS Bond (Bond not necessary if Southern Water have agreed to adopt SUDS once installed)</w:t>
      </w:r>
    </w:p>
    <w:p w14:paraId="60F89787" w14:textId="327E1FC7" w:rsidR="00A61DD1" w:rsidRPr="00DB0D76" w:rsidRDefault="00BD5646" w:rsidP="0053448E">
      <w:pPr>
        <w:pStyle w:val="ListParagraph"/>
        <w:numPr>
          <w:ilvl w:val="0"/>
          <w:numId w:val="1"/>
        </w:numPr>
        <w:rPr>
          <w:rFonts w:ascii="Arial" w:hAnsi="Arial" w:cs="Arial"/>
        </w:rPr>
      </w:pPr>
      <w:r>
        <w:rPr>
          <w:rFonts w:ascii="Arial" w:hAnsi="Arial" w:cs="Arial"/>
        </w:rPr>
        <w:t>Delivery of Local Centre</w:t>
      </w:r>
    </w:p>
    <w:p w14:paraId="724C4153" w14:textId="48B91F8B" w:rsidR="0008472D" w:rsidRDefault="0008472D" w:rsidP="0053448E">
      <w:pPr>
        <w:pStyle w:val="ListParagraph"/>
        <w:numPr>
          <w:ilvl w:val="0"/>
          <w:numId w:val="1"/>
        </w:numPr>
        <w:rPr>
          <w:rFonts w:ascii="Arial" w:hAnsi="Arial" w:cs="Arial"/>
        </w:rPr>
      </w:pPr>
      <w:r w:rsidRPr="00DB0D76">
        <w:rPr>
          <w:rFonts w:ascii="Arial" w:hAnsi="Arial" w:cs="Arial"/>
        </w:rPr>
        <w:t xml:space="preserve">Community Worker </w:t>
      </w:r>
      <w:r w:rsidR="0001365E" w:rsidRPr="00DB0D76">
        <w:rPr>
          <w:rFonts w:ascii="Arial" w:hAnsi="Arial" w:cs="Arial"/>
        </w:rPr>
        <w:t xml:space="preserve">(Policy DR2) – </w:t>
      </w:r>
      <w:r w:rsidR="002732A2" w:rsidRPr="00DB0D76">
        <w:rPr>
          <w:rFonts w:ascii="Arial" w:hAnsi="Arial" w:cs="Arial"/>
        </w:rPr>
        <w:t>First instalment</w:t>
      </w:r>
      <w:r w:rsidR="0001365E" w:rsidRPr="00DB0D76">
        <w:rPr>
          <w:rFonts w:ascii="Arial" w:hAnsi="Arial" w:cs="Arial"/>
        </w:rPr>
        <w:t xml:space="preserve"> due </w:t>
      </w:r>
      <w:r w:rsidR="00DC5048">
        <w:rPr>
          <w:rFonts w:ascii="Arial" w:hAnsi="Arial" w:cs="Arial"/>
        </w:rPr>
        <w:t>prior to</w:t>
      </w:r>
      <w:r w:rsidR="0001365E" w:rsidRPr="00DB0D76">
        <w:rPr>
          <w:rFonts w:ascii="Arial" w:hAnsi="Arial" w:cs="Arial"/>
        </w:rPr>
        <w:t xml:space="preserve"> commencement </w:t>
      </w:r>
    </w:p>
    <w:p w14:paraId="0BB98AA6" w14:textId="3E362A07" w:rsidR="009B5983" w:rsidRPr="00DB0D76" w:rsidRDefault="009B5983" w:rsidP="0053448E">
      <w:pPr>
        <w:pStyle w:val="ListParagraph"/>
        <w:numPr>
          <w:ilvl w:val="0"/>
          <w:numId w:val="1"/>
        </w:numPr>
        <w:rPr>
          <w:rFonts w:ascii="Arial" w:hAnsi="Arial" w:cs="Arial"/>
        </w:rPr>
      </w:pPr>
      <w:r>
        <w:rPr>
          <w:rFonts w:ascii="Arial" w:hAnsi="Arial" w:cs="Arial"/>
        </w:rPr>
        <w:t>Employment and Skills Plan</w:t>
      </w:r>
    </w:p>
    <w:p w14:paraId="4138696B" w14:textId="77777777" w:rsidR="006D5554" w:rsidRDefault="006D5554" w:rsidP="0053448E">
      <w:pPr>
        <w:pStyle w:val="ListParagraph"/>
        <w:numPr>
          <w:ilvl w:val="0"/>
          <w:numId w:val="1"/>
        </w:numPr>
        <w:rPr>
          <w:rFonts w:ascii="Arial" w:hAnsi="Arial" w:cs="Arial"/>
        </w:rPr>
      </w:pPr>
      <w:r w:rsidRPr="00DB0D76">
        <w:rPr>
          <w:rFonts w:ascii="Arial" w:hAnsi="Arial" w:cs="Arial"/>
        </w:rPr>
        <w:t>Education (HCC)</w:t>
      </w:r>
    </w:p>
    <w:p w14:paraId="4D907724" w14:textId="77777777" w:rsidR="00511078" w:rsidRDefault="00DB0D76" w:rsidP="0053448E">
      <w:pPr>
        <w:pStyle w:val="ListParagraph"/>
        <w:numPr>
          <w:ilvl w:val="0"/>
          <w:numId w:val="1"/>
        </w:numPr>
        <w:rPr>
          <w:rFonts w:ascii="Arial" w:hAnsi="Arial" w:cs="Arial"/>
        </w:rPr>
      </w:pPr>
      <w:r>
        <w:rPr>
          <w:rFonts w:ascii="Arial" w:hAnsi="Arial" w:cs="Arial"/>
        </w:rPr>
        <w:t>Travel Plan</w:t>
      </w:r>
      <w:r w:rsidR="00943923">
        <w:rPr>
          <w:rFonts w:ascii="Arial" w:hAnsi="Arial" w:cs="Arial"/>
        </w:rPr>
        <w:t xml:space="preserve"> (HCC)</w:t>
      </w:r>
      <w:r w:rsidR="00511078">
        <w:rPr>
          <w:rFonts w:ascii="Arial" w:hAnsi="Arial" w:cs="Arial"/>
        </w:rPr>
        <w:t xml:space="preserve"> </w:t>
      </w:r>
    </w:p>
    <w:p w14:paraId="71AB0FA5" w14:textId="2A14A7A9" w:rsidR="002732A2" w:rsidRDefault="006D5554" w:rsidP="0053448E">
      <w:pPr>
        <w:pStyle w:val="ListParagraph"/>
        <w:numPr>
          <w:ilvl w:val="0"/>
          <w:numId w:val="1"/>
        </w:numPr>
        <w:rPr>
          <w:rFonts w:ascii="Arial" w:hAnsi="Arial" w:cs="Arial"/>
        </w:rPr>
      </w:pPr>
      <w:r w:rsidRPr="00DB0D76">
        <w:rPr>
          <w:rFonts w:ascii="Arial" w:hAnsi="Arial" w:cs="Arial"/>
        </w:rPr>
        <w:t xml:space="preserve">Site Specific Transport Improvements </w:t>
      </w:r>
      <w:r w:rsidR="00943923">
        <w:rPr>
          <w:rFonts w:ascii="Arial" w:hAnsi="Arial" w:cs="Arial"/>
        </w:rPr>
        <w:t>(HCC)</w:t>
      </w:r>
    </w:p>
    <w:p w14:paraId="2DBA0481" w14:textId="77777777" w:rsidR="009B5983" w:rsidRPr="00BD5646" w:rsidRDefault="009B5983" w:rsidP="009B5983">
      <w:pPr>
        <w:pStyle w:val="ListParagraph"/>
        <w:numPr>
          <w:ilvl w:val="0"/>
          <w:numId w:val="1"/>
        </w:numPr>
        <w:rPr>
          <w:rFonts w:ascii="Arial" w:hAnsi="Arial" w:cs="Arial"/>
        </w:rPr>
      </w:pPr>
      <w:r w:rsidRPr="00BD5646">
        <w:rPr>
          <w:rFonts w:ascii="Arial" w:hAnsi="Arial" w:cs="Arial"/>
        </w:rPr>
        <w:t xml:space="preserve">Public Transport Contributions (HCC) </w:t>
      </w:r>
    </w:p>
    <w:p w14:paraId="5BEF3166" w14:textId="7901C15C" w:rsidR="00B54FC3" w:rsidRDefault="0001365E" w:rsidP="0053448E">
      <w:pPr>
        <w:pStyle w:val="ListParagraph"/>
        <w:numPr>
          <w:ilvl w:val="0"/>
          <w:numId w:val="1"/>
        </w:numPr>
        <w:rPr>
          <w:rFonts w:ascii="Arial" w:hAnsi="Arial" w:cs="Arial"/>
        </w:rPr>
      </w:pPr>
      <w:r w:rsidRPr="00DB0D76">
        <w:rPr>
          <w:rFonts w:ascii="Arial" w:hAnsi="Arial" w:cs="Arial"/>
        </w:rPr>
        <w:t xml:space="preserve">Health </w:t>
      </w:r>
    </w:p>
    <w:p w14:paraId="37DE25D6" w14:textId="20A46891" w:rsidR="001C4EB1" w:rsidRPr="00DB0D76" w:rsidRDefault="001C4EB1" w:rsidP="0053448E">
      <w:pPr>
        <w:pStyle w:val="ListParagraph"/>
        <w:numPr>
          <w:ilvl w:val="0"/>
          <w:numId w:val="1"/>
        </w:numPr>
        <w:rPr>
          <w:rFonts w:ascii="Arial" w:hAnsi="Arial" w:cs="Arial"/>
        </w:rPr>
      </w:pPr>
      <w:r>
        <w:rPr>
          <w:rFonts w:ascii="Arial" w:hAnsi="Arial" w:cs="Arial"/>
        </w:rPr>
        <w:t xml:space="preserve">Any other </w:t>
      </w:r>
      <w:r w:rsidR="00002EF9">
        <w:rPr>
          <w:rFonts w:ascii="Arial" w:hAnsi="Arial" w:cs="Arial"/>
        </w:rPr>
        <w:t>site-specific</w:t>
      </w:r>
      <w:r>
        <w:rPr>
          <w:rFonts w:ascii="Arial" w:hAnsi="Arial" w:cs="Arial"/>
        </w:rPr>
        <w:t xml:space="preserve"> requirements by consultees</w:t>
      </w:r>
    </w:p>
    <w:p w14:paraId="2EA7C206" w14:textId="77777777" w:rsidR="0032791E" w:rsidRPr="00877166" w:rsidRDefault="000E51C0" w:rsidP="0053448E">
      <w:pPr>
        <w:autoSpaceDE w:val="0"/>
        <w:autoSpaceDN w:val="0"/>
        <w:adjustRightInd w:val="0"/>
        <w:spacing w:after="0"/>
        <w:rPr>
          <w:rStyle w:val="Hyperlink"/>
          <w:rFonts w:ascii="Arial" w:hAnsi="Arial" w:cs="Arial"/>
          <w:b/>
          <w:color w:val="auto"/>
        </w:rPr>
      </w:pPr>
      <w:r w:rsidRPr="00877166">
        <w:rPr>
          <w:rStyle w:val="Hyperlink"/>
          <w:rFonts w:ascii="Arial" w:hAnsi="Arial" w:cs="Arial"/>
          <w:b/>
          <w:color w:val="auto"/>
        </w:rPr>
        <w:t xml:space="preserve">SEE THE HBC DEVELOPER CONTRIBUTIONS GUIDE FOR ADDITIONAL </w:t>
      </w:r>
    </w:p>
    <w:p w14:paraId="31475CF7" w14:textId="77777777" w:rsidR="0032791E" w:rsidRPr="00877166" w:rsidRDefault="0032791E" w:rsidP="0053448E">
      <w:pPr>
        <w:autoSpaceDE w:val="0"/>
        <w:autoSpaceDN w:val="0"/>
        <w:adjustRightInd w:val="0"/>
        <w:spacing w:after="0"/>
        <w:rPr>
          <w:rStyle w:val="Hyperlink"/>
          <w:rFonts w:ascii="Arial" w:hAnsi="Arial" w:cs="Arial"/>
          <w:b/>
          <w:color w:val="auto"/>
        </w:rPr>
      </w:pPr>
    </w:p>
    <w:p w14:paraId="70713BF4" w14:textId="72EE0046" w:rsidR="00002EF9" w:rsidRDefault="0001365E" w:rsidP="00002EF9">
      <w:pPr>
        <w:autoSpaceDE w:val="0"/>
        <w:autoSpaceDN w:val="0"/>
        <w:adjustRightInd w:val="0"/>
        <w:spacing w:after="0"/>
      </w:pPr>
      <w:r w:rsidRPr="00877166">
        <w:rPr>
          <w:rFonts w:ascii="Arial" w:hAnsi="Arial" w:cs="Arial"/>
        </w:rPr>
        <w:t xml:space="preserve">Latest version accessible from: </w:t>
      </w:r>
      <w:hyperlink r:id="rId10" w:history="1">
        <w:r w:rsidR="00002EF9" w:rsidRPr="00002EF9">
          <w:rPr>
            <w:rStyle w:val="Hyperlink"/>
            <w:rFonts w:ascii="Arial" w:hAnsi="Arial" w:cs="Arial"/>
          </w:rPr>
          <w:t>https://www.havant.gov.uk/planning-services/planning-policy/community-infrastructure-levy-cil/community-infrastructure-levy-6</w:t>
        </w:r>
      </w:hyperlink>
    </w:p>
    <w:p w14:paraId="2E3B948B" w14:textId="77777777" w:rsidR="00002EF9" w:rsidRPr="00002EF9" w:rsidRDefault="00002EF9" w:rsidP="00002EF9">
      <w:pPr>
        <w:autoSpaceDE w:val="0"/>
        <w:autoSpaceDN w:val="0"/>
        <w:adjustRightInd w:val="0"/>
        <w:spacing w:after="0"/>
      </w:pPr>
    </w:p>
    <w:p w14:paraId="300476E9" w14:textId="43160251" w:rsidR="0017404B" w:rsidRPr="00877166" w:rsidRDefault="0001365E" w:rsidP="00002EF9">
      <w:pPr>
        <w:autoSpaceDE w:val="0"/>
        <w:autoSpaceDN w:val="0"/>
        <w:adjustRightInd w:val="0"/>
        <w:spacing w:after="0"/>
        <w:rPr>
          <w:rFonts w:ascii="Arial" w:eastAsia="Aptos" w:hAnsi="Arial" w:cs="Arial"/>
          <w:kern w:val="2"/>
          <w14:ligatures w14:val="standardContextual"/>
        </w:rPr>
      </w:pPr>
      <w:r w:rsidRPr="00877166">
        <w:rPr>
          <w:rFonts w:ascii="Arial" w:hAnsi="Arial" w:cs="Arial"/>
          <w:b/>
        </w:rPr>
        <w:t xml:space="preserve">*HBC Monitoring Fees:  </w:t>
      </w:r>
      <w:r w:rsidR="0017404B" w:rsidRPr="00877166">
        <w:rPr>
          <w:rFonts w:ascii="Arial" w:eastAsia="Aptos" w:hAnsi="Arial" w:cs="Arial"/>
          <w:kern w:val="2"/>
          <w14:ligatures w14:val="standardContextual"/>
        </w:rPr>
        <w:t>As part of the Heads of Terms, provision must be made for monitoring fees. The Community Infrastructure Levy (Amendment) Regulations 2019, effective from 1 September 2019, provide a basis for the recovery of costs associated with monitoring Section 106 obligations. Havant Borough Council undertakes the monitoring, administration and discharge of both Borough and Hampshire County Council Obligations, and the monitoring charges set out below apply to each relevant Head of Term.</w:t>
      </w:r>
    </w:p>
    <w:p w14:paraId="3652A82E" w14:textId="25433012" w:rsidR="0017404B" w:rsidRPr="00877166" w:rsidRDefault="0017404B" w:rsidP="0053448E">
      <w:pPr>
        <w:spacing w:after="160"/>
        <w:rPr>
          <w:rFonts w:ascii="Arial" w:eastAsia="Aptos" w:hAnsi="Arial" w:cs="Arial"/>
          <w:kern w:val="2"/>
          <w14:ligatures w14:val="standardContextual"/>
        </w:rPr>
      </w:pPr>
      <w:r w:rsidRPr="00877166">
        <w:rPr>
          <w:rFonts w:ascii="Arial" w:eastAsia="Aptos" w:hAnsi="Arial" w:cs="Arial"/>
          <w:kern w:val="2"/>
          <w14:ligatures w14:val="standardContextual"/>
        </w:rPr>
        <w:t>The monitoring fee</w:t>
      </w:r>
      <w:r w:rsidR="00002EF9">
        <w:rPr>
          <w:rFonts w:ascii="Arial" w:eastAsia="Aptos" w:hAnsi="Arial" w:cs="Arial"/>
          <w:kern w:val="2"/>
          <w14:ligatures w14:val="standardContextual"/>
        </w:rPr>
        <w:t xml:space="preserve">s below </w:t>
      </w:r>
      <w:r w:rsidRPr="00877166">
        <w:rPr>
          <w:rFonts w:ascii="Arial" w:eastAsia="Aptos" w:hAnsi="Arial" w:cs="Arial"/>
          <w:kern w:val="2"/>
          <w14:ligatures w14:val="standardContextual"/>
        </w:rPr>
        <w:t>represent a starting point for negotiation and should not be regarded as a fixed cap. Monitoring fees must be set at a level that fully funds the Council's ongoing costs of monitoring, administering and enforcing planning obligations over the life of the agreement. They should also adequately reflect the higher level of monitoring, administration and discharge activity typically required during the build-out of a scheme, whilst also providing sufficient funding to support the long-term monitoring and enforcement of obligations for the duration of the agreement.</w:t>
      </w:r>
      <w:r w:rsidR="00220301" w:rsidRPr="00877166">
        <w:rPr>
          <w:rFonts w:ascii="Arial" w:eastAsia="Aptos" w:hAnsi="Arial" w:cs="Arial"/>
          <w:kern w:val="2"/>
          <w14:ligatures w14:val="standardContextual"/>
        </w:rPr>
        <w:t xml:space="preserve"> Based on a comparable site in terms of size, which straddles the borough, we are at this point anticipating that the build may take 10 years plus.</w:t>
      </w:r>
    </w:p>
    <w:p w14:paraId="48810CBE" w14:textId="77777777" w:rsidR="0001365E" w:rsidRPr="00877166" w:rsidRDefault="0001365E" w:rsidP="0053448E">
      <w:pPr>
        <w:autoSpaceDE w:val="0"/>
        <w:autoSpaceDN w:val="0"/>
        <w:adjustRightInd w:val="0"/>
        <w:spacing w:after="0"/>
        <w:rPr>
          <w:rFonts w:ascii="Arial" w:hAnsi="Arial" w:cs="Arial"/>
          <w:b/>
          <w:bCs/>
        </w:rPr>
      </w:pPr>
      <w:r w:rsidRPr="00877166">
        <w:rPr>
          <w:rFonts w:ascii="Arial" w:hAnsi="Arial" w:cs="Arial"/>
          <w:b/>
          <w:bCs/>
        </w:rPr>
        <w:t xml:space="preserve">From 1 April 2026 </w:t>
      </w:r>
    </w:p>
    <w:p w14:paraId="19D2B29D" w14:textId="77777777" w:rsidR="0001365E" w:rsidRPr="00877166" w:rsidRDefault="0001365E" w:rsidP="0053448E">
      <w:pPr>
        <w:numPr>
          <w:ilvl w:val="0"/>
          <w:numId w:val="4"/>
        </w:numPr>
        <w:autoSpaceDE w:val="0"/>
        <w:autoSpaceDN w:val="0"/>
        <w:adjustRightInd w:val="0"/>
        <w:spacing w:after="0"/>
        <w:rPr>
          <w:rFonts w:ascii="Arial" w:hAnsi="Arial" w:cs="Arial"/>
        </w:rPr>
      </w:pPr>
      <w:r w:rsidRPr="00877166">
        <w:rPr>
          <w:rFonts w:ascii="Arial" w:hAnsi="Arial" w:cs="Arial"/>
        </w:rPr>
        <w:t>£1,058 per non-financial head of term (outside the scope of VAT)</w:t>
      </w:r>
    </w:p>
    <w:p w14:paraId="431ADF7E" w14:textId="77777777" w:rsidR="0001365E" w:rsidRPr="00877166" w:rsidRDefault="0001365E" w:rsidP="0053448E">
      <w:pPr>
        <w:numPr>
          <w:ilvl w:val="0"/>
          <w:numId w:val="4"/>
        </w:numPr>
        <w:autoSpaceDE w:val="0"/>
        <w:autoSpaceDN w:val="0"/>
        <w:adjustRightInd w:val="0"/>
        <w:spacing w:after="0"/>
        <w:rPr>
          <w:rFonts w:ascii="Arial" w:hAnsi="Arial" w:cs="Arial"/>
        </w:rPr>
      </w:pPr>
      <w:r w:rsidRPr="00877166">
        <w:rPr>
          <w:rFonts w:ascii="Arial" w:hAnsi="Arial" w:cs="Arial"/>
        </w:rPr>
        <w:t>5% of cost per Havant Borough Council financial head of term (outside the scope of VAT)</w:t>
      </w:r>
    </w:p>
    <w:p w14:paraId="379FEE6B" w14:textId="77777777" w:rsidR="007D6B84" w:rsidRDefault="007D6B84" w:rsidP="0053448E">
      <w:pPr>
        <w:shd w:val="clear" w:color="auto" w:fill="FFFFFF"/>
        <w:spacing w:after="0"/>
        <w:rPr>
          <w:rFonts w:ascii="Arial" w:eastAsia="Times New Roman" w:hAnsi="Arial" w:cs="Arial"/>
          <w:lang w:eastAsia="en-GB"/>
        </w:rPr>
      </w:pPr>
    </w:p>
    <w:p w14:paraId="186733E2" w14:textId="3002B593" w:rsidR="00511078" w:rsidRPr="00877166" w:rsidRDefault="003F38CF" w:rsidP="0053448E">
      <w:pPr>
        <w:shd w:val="clear" w:color="auto" w:fill="FFFFFF"/>
        <w:spacing w:after="0"/>
        <w:rPr>
          <w:rFonts w:ascii="Arial" w:eastAsia="Times New Roman" w:hAnsi="Arial" w:cs="Arial"/>
          <w:lang w:eastAsia="en-GB"/>
        </w:rPr>
      </w:pPr>
      <w:r>
        <w:rPr>
          <w:rFonts w:ascii="Arial" w:eastAsia="Times New Roman" w:hAnsi="Arial" w:cs="Arial"/>
          <w:lang w:eastAsia="en-GB"/>
        </w:rPr>
        <w:lastRenderedPageBreak/>
        <w:t xml:space="preserve">The </w:t>
      </w:r>
      <w:r w:rsidR="007D6B84">
        <w:rPr>
          <w:rFonts w:ascii="Arial" w:eastAsia="Times New Roman" w:hAnsi="Arial" w:cs="Arial"/>
          <w:lang w:eastAsia="en-GB"/>
        </w:rPr>
        <w:t>b</w:t>
      </w:r>
      <w:r>
        <w:rPr>
          <w:rFonts w:ascii="Arial" w:eastAsia="Times New Roman" w:hAnsi="Arial" w:cs="Arial"/>
          <w:lang w:eastAsia="en-GB"/>
        </w:rPr>
        <w:t xml:space="preserve">ase </w:t>
      </w:r>
      <w:r w:rsidR="00511078">
        <w:rPr>
          <w:rFonts w:ascii="Arial" w:eastAsia="Times New Roman" w:hAnsi="Arial" w:cs="Arial"/>
          <w:lang w:eastAsia="en-GB"/>
        </w:rPr>
        <w:t>BNG mon</w:t>
      </w:r>
      <w:r>
        <w:rPr>
          <w:rFonts w:ascii="Arial" w:eastAsia="Times New Roman" w:hAnsi="Arial" w:cs="Arial"/>
          <w:lang w:eastAsia="en-GB"/>
        </w:rPr>
        <w:t>itoring</w:t>
      </w:r>
      <w:r w:rsidR="00511078">
        <w:rPr>
          <w:rFonts w:ascii="Arial" w:eastAsia="Times New Roman" w:hAnsi="Arial" w:cs="Arial"/>
          <w:lang w:eastAsia="en-GB"/>
        </w:rPr>
        <w:t xml:space="preserve"> fee </w:t>
      </w:r>
      <w:r>
        <w:rPr>
          <w:rFonts w:ascii="Arial" w:eastAsia="Times New Roman" w:hAnsi="Arial" w:cs="Arial"/>
          <w:lang w:eastAsia="en-GB"/>
        </w:rPr>
        <w:t xml:space="preserve">for a </w:t>
      </w:r>
      <w:r w:rsidR="007D6B84">
        <w:rPr>
          <w:rFonts w:ascii="Arial" w:eastAsia="Times New Roman" w:hAnsi="Arial" w:cs="Arial"/>
          <w:lang w:eastAsia="en-GB"/>
        </w:rPr>
        <w:t>40-hectare</w:t>
      </w:r>
      <w:r>
        <w:rPr>
          <w:rFonts w:ascii="Arial" w:eastAsia="Times New Roman" w:hAnsi="Arial" w:cs="Arial"/>
          <w:lang w:eastAsia="en-GB"/>
        </w:rPr>
        <w:t xml:space="preserve"> site would be £13,321, this site is 106.57 hectares (see earlier comments regarding starting point for negotiation</w:t>
      </w:r>
      <w:r w:rsidR="004329E5">
        <w:rPr>
          <w:rFonts w:ascii="Arial" w:eastAsia="Times New Roman" w:hAnsi="Arial" w:cs="Arial"/>
          <w:lang w:eastAsia="en-GB"/>
        </w:rPr>
        <w:t>) T</w:t>
      </w:r>
      <w:r>
        <w:rPr>
          <w:rFonts w:ascii="Arial" w:eastAsia="Times New Roman" w:hAnsi="Arial" w:cs="Arial"/>
          <w:lang w:eastAsia="en-GB"/>
        </w:rPr>
        <w:t>he sum needs to adequately reflect the costs to the council for monitoring BNG at completion and the subsequent 30 years</w:t>
      </w:r>
      <w:r w:rsidR="004329E5">
        <w:rPr>
          <w:rFonts w:ascii="Arial" w:eastAsia="Times New Roman" w:hAnsi="Arial" w:cs="Arial"/>
          <w:lang w:eastAsia="en-GB"/>
        </w:rPr>
        <w:t>, if the base sum is proportionally increased the sum required is £35,490</w:t>
      </w:r>
      <w:r>
        <w:rPr>
          <w:rFonts w:ascii="Arial" w:eastAsia="Times New Roman" w:hAnsi="Arial" w:cs="Arial"/>
          <w:lang w:eastAsia="en-GB"/>
        </w:rPr>
        <w:t>.</w:t>
      </w:r>
    </w:p>
    <w:p w14:paraId="473A0CB9" w14:textId="77777777" w:rsidR="0001365E" w:rsidRPr="00877166" w:rsidRDefault="0001365E" w:rsidP="0053448E">
      <w:pPr>
        <w:shd w:val="clear" w:color="auto" w:fill="FFFFFF"/>
        <w:spacing w:after="0"/>
        <w:ind w:left="360"/>
        <w:rPr>
          <w:rFonts w:ascii="Arial" w:eastAsia="Times New Roman" w:hAnsi="Arial" w:cs="Arial"/>
          <w:lang w:eastAsia="en-GB"/>
        </w:rPr>
      </w:pPr>
    </w:p>
    <w:p w14:paraId="1906F4AB" w14:textId="193A628A" w:rsidR="0001365E" w:rsidRPr="00877166" w:rsidRDefault="0001365E" w:rsidP="0053448E">
      <w:pPr>
        <w:rPr>
          <w:rFonts w:ascii="Arial" w:hAnsi="Arial" w:cs="Arial"/>
          <w:b/>
        </w:rPr>
      </w:pPr>
      <w:r w:rsidRPr="00877166">
        <w:rPr>
          <w:rFonts w:ascii="Arial" w:hAnsi="Arial" w:cs="Arial"/>
          <w:b/>
        </w:rPr>
        <w:t xml:space="preserve"> **</w:t>
      </w:r>
      <w:r w:rsidR="00430830">
        <w:rPr>
          <w:rFonts w:ascii="Arial" w:hAnsi="Arial" w:cs="Arial"/>
          <w:b/>
        </w:rPr>
        <w:t>Bird Aware Solent Revised Strategy</w:t>
      </w:r>
    </w:p>
    <w:p w14:paraId="40141078" w14:textId="70B15324" w:rsidR="00DC27F6" w:rsidRDefault="0001365E" w:rsidP="00DC27F6">
      <w:pPr>
        <w:rPr>
          <w:rFonts w:ascii="Arial" w:hAnsi="Arial" w:cs="Arial"/>
        </w:rPr>
      </w:pPr>
      <w:r w:rsidRPr="00877166">
        <w:rPr>
          <w:rFonts w:ascii="Arial" w:hAnsi="Arial" w:cs="Arial"/>
        </w:rPr>
        <w:t xml:space="preserve">The charges are set out below, based on the maximum number of </w:t>
      </w:r>
      <w:r w:rsidRPr="00877166">
        <w:rPr>
          <w:rFonts w:ascii="Arial" w:hAnsi="Arial" w:cs="Arial"/>
          <w:b/>
          <w:bCs/>
        </w:rPr>
        <w:t>net</w:t>
      </w:r>
      <w:r w:rsidRPr="00877166">
        <w:rPr>
          <w:rFonts w:ascii="Arial" w:hAnsi="Arial" w:cs="Arial"/>
        </w:rPr>
        <w:t xml:space="preserve"> new dwellings and bedroom sizes; contribution will be indexed (RPI), these rates will be updated 1/4/27: </w:t>
      </w:r>
      <w:hyperlink r:id="rId11" w:history="1">
        <w:r w:rsidR="00DC27F6" w:rsidRPr="00F3790A">
          <w:rPr>
            <w:rStyle w:val="Hyperlink"/>
            <w:rFonts w:ascii="Arial" w:hAnsi="Arial" w:cs="Arial"/>
          </w:rPr>
          <w:t>https://www.havant.gov.uk/planning-services/planning-policy/community-infrastructure-levy-cil/section-106-legal-agreements-3</w:t>
        </w:r>
      </w:hyperlink>
    </w:p>
    <w:tbl>
      <w:tblPr>
        <w:tblStyle w:val="TableGrid"/>
        <w:tblW w:w="0" w:type="auto"/>
        <w:tblLook w:val="04A0" w:firstRow="1" w:lastRow="0" w:firstColumn="1" w:lastColumn="0" w:noHBand="0" w:noVBand="1"/>
      </w:tblPr>
      <w:tblGrid>
        <w:gridCol w:w="1803"/>
        <w:gridCol w:w="1803"/>
        <w:gridCol w:w="5410"/>
      </w:tblGrid>
      <w:tr w:rsidR="0001365E" w:rsidRPr="00877166" w14:paraId="5C748CF7" w14:textId="77777777" w:rsidTr="003960F9">
        <w:tc>
          <w:tcPr>
            <w:tcW w:w="1803" w:type="dxa"/>
            <w:tcBorders>
              <w:top w:val="single" w:sz="4" w:space="0" w:color="auto"/>
              <w:left w:val="single" w:sz="4" w:space="0" w:color="auto"/>
              <w:bottom w:val="single" w:sz="4" w:space="0" w:color="auto"/>
              <w:right w:val="single" w:sz="4" w:space="0" w:color="auto"/>
            </w:tcBorders>
            <w:hideMark/>
          </w:tcPr>
          <w:p w14:paraId="7F571F18" w14:textId="77777777" w:rsidR="0001365E" w:rsidRPr="00877166" w:rsidRDefault="0001365E" w:rsidP="0053448E">
            <w:pPr>
              <w:spacing w:after="160"/>
              <w:rPr>
                <w:rFonts w:ascii="Arial" w:hAnsi="Arial" w:cs="Arial"/>
                <w:b/>
              </w:rPr>
            </w:pPr>
            <w:r w:rsidRPr="00877166">
              <w:rPr>
                <w:rFonts w:ascii="Arial" w:hAnsi="Arial" w:cs="Arial"/>
                <w:b/>
              </w:rPr>
              <w:t>No. of Bedrooms</w:t>
            </w:r>
          </w:p>
        </w:tc>
        <w:tc>
          <w:tcPr>
            <w:tcW w:w="1803" w:type="dxa"/>
            <w:tcBorders>
              <w:top w:val="single" w:sz="4" w:space="0" w:color="auto"/>
              <w:left w:val="single" w:sz="4" w:space="0" w:color="auto"/>
              <w:bottom w:val="single" w:sz="4" w:space="0" w:color="auto"/>
              <w:right w:val="single" w:sz="4" w:space="0" w:color="auto"/>
            </w:tcBorders>
            <w:hideMark/>
          </w:tcPr>
          <w:p w14:paraId="4C50C60B" w14:textId="77777777" w:rsidR="0001365E" w:rsidRPr="00877166" w:rsidRDefault="0001365E" w:rsidP="0053448E">
            <w:pPr>
              <w:spacing w:after="160"/>
              <w:rPr>
                <w:rFonts w:ascii="Arial" w:hAnsi="Arial" w:cs="Arial"/>
                <w:b/>
              </w:rPr>
            </w:pPr>
            <w:r w:rsidRPr="00877166">
              <w:rPr>
                <w:rFonts w:ascii="Arial" w:hAnsi="Arial" w:cs="Arial"/>
                <w:b/>
              </w:rPr>
              <w:t>Amount</w:t>
            </w:r>
          </w:p>
        </w:tc>
        <w:tc>
          <w:tcPr>
            <w:tcW w:w="5410" w:type="dxa"/>
            <w:tcBorders>
              <w:top w:val="single" w:sz="4" w:space="0" w:color="auto"/>
              <w:left w:val="single" w:sz="4" w:space="0" w:color="auto"/>
              <w:bottom w:val="single" w:sz="4" w:space="0" w:color="auto"/>
              <w:right w:val="single" w:sz="4" w:space="0" w:color="auto"/>
            </w:tcBorders>
            <w:hideMark/>
          </w:tcPr>
          <w:p w14:paraId="51CA643E" w14:textId="77777777" w:rsidR="0001365E" w:rsidRPr="00877166" w:rsidRDefault="0001365E" w:rsidP="0053448E">
            <w:pPr>
              <w:spacing w:after="160"/>
              <w:rPr>
                <w:rFonts w:ascii="Arial" w:hAnsi="Arial" w:cs="Arial"/>
                <w:b/>
              </w:rPr>
            </w:pPr>
            <w:r w:rsidRPr="00877166">
              <w:rPr>
                <w:rFonts w:ascii="Arial" w:hAnsi="Arial" w:cs="Arial"/>
                <w:b/>
              </w:rPr>
              <w:t>Monitoring fee</w:t>
            </w:r>
          </w:p>
        </w:tc>
      </w:tr>
      <w:tr w:rsidR="0001365E" w:rsidRPr="00877166" w14:paraId="08BF582D" w14:textId="77777777" w:rsidTr="003960F9">
        <w:tc>
          <w:tcPr>
            <w:tcW w:w="1803" w:type="dxa"/>
            <w:tcBorders>
              <w:top w:val="single" w:sz="4" w:space="0" w:color="auto"/>
              <w:left w:val="single" w:sz="4" w:space="0" w:color="auto"/>
              <w:bottom w:val="single" w:sz="4" w:space="0" w:color="auto"/>
              <w:right w:val="single" w:sz="4" w:space="0" w:color="auto"/>
            </w:tcBorders>
            <w:hideMark/>
          </w:tcPr>
          <w:p w14:paraId="7E50D5E4" w14:textId="77777777" w:rsidR="0001365E" w:rsidRPr="00877166" w:rsidRDefault="0001365E" w:rsidP="0053448E">
            <w:pPr>
              <w:spacing w:after="160"/>
              <w:rPr>
                <w:rFonts w:ascii="Arial" w:hAnsi="Arial" w:cs="Arial"/>
                <w:bCs/>
              </w:rPr>
            </w:pPr>
            <w:r w:rsidRPr="00877166">
              <w:rPr>
                <w:rFonts w:ascii="Arial" w:hAnsi="Arial" w:cs="Arial"/>
                <w:bCs/>
              </w:rPr>
              <w:t>1</w:t>
            </w:r>
          </w:p>
        </w:tc>
        <w:tc>
          <w:tcPr>
            <w:tcW w:w="1803" w:type="dxa"/>
            <w:tcBorders>
              <w:top w:val="single" w:sz="4" w:space="0" w:color="auto"/>
              <w:left w:val="single" w:sz="4" w:space="0" w:color="auto"/>
              <w:bottom w:val="single" w:sz="4" w:space="0" w:color="auto"/>
              <w:right w:val="single" w:sz="4" w:space="0" w:color="auto"/>
            </w:tcBorders>
            <w:hideMark/>
          </w:tcPr>
          <w:p w14:paraId="7E2A76D2" w14:textId="77777777" w:rsidR="0001365E" w:rsidRPr="00877166" w:rsidRDefault="0001365E" w:rsidP="0053448E">
            <w:pPr>
              <w:spacing w:after="160"/>
              <w:rPr>
                <w:rFonts w:ascii="Arial" w:hAnsi="Arial" w:cs="Arial"/>
                <w:bCs/>
              </w:rPr>
            </w:pPr>
            <w:r w:rsidRPr="00877166">
              <w:rPr>
                <w:rFonts w:ascii="Arial" w:hAnsi="Arial" w:cs="Arial"/>
                <w:bCs/>
              </w:rPr>
              <w:t>£501</w:t>
            </w:r>
          </w:p>
        </w:tc>
        <w:tc>
          <w:tcPr>
            <w:tcW w:w="5410" w:type="dxa"/>
            <w:vMerge w:val="restart"/>
            <w:tcBorders>
              <w:top w:val="single" w:sz="4" w:space="0" w:color="auto"/>
              <w:left w:val="single" w:sz="4" w:space="0" w:color="auto"/>
              <w:bottom w:val="single" w:sz="4" w:space="0" w:color="auto"/>
              <w:right w:val="single" w:sz="4" w:space="0" w:color="auto"/>
            </w:tcBorders>
            <w:hideMark/>
          </w:tcPr>
          <w:p w14:paraId="3E1D652E" w14:textId="77777777" w:rsidR="0001365E" w:rsidRPr="00877166" w:rsidRDefault="0001365E" w:rsidP="0053448E">
            <w:pPr>
              <w:spacing w:after="160"/>
              <w:rPr>
                <w:rFonts w:ascii="Arial" w:hAnsi="Arial" w:cs="Arial"/>
                <w:bCs/>
              </w:rPr>
            </w:pPr>
            <w:r w:rsidRPr="00877166">
              <w:rPr>
                <w:rFonts w:ascii="Arial" w:hAnsi="Arial" w:cs="Arial"/>
                <w:sz w:val="20"/>
                <w:szCs w:val="20"/>
              </w:rPr>
              <w:t>Plus 5% of total (sum may be included in ‘HBC Monitoring Fees’)</w:t>
            </w:r>
          </w:p>
        </w:tc>
      </w:tr>
      <w:tr w:rsidR="0001365E" w:rsidRPr="00877166" w14:paraId="2699A0B0" w14:textId="77777777" w:rsidTr="003960F9">
        <w:tc>
          <w:tcPr>
            <w:tcW w:w="1803" w:type="dxa"/>
            <w:tcBorders>
              <w:top w:val="single" w:sz="4" w:space="0" w:color="auto"/>
              <w:left w:val="single" w:sz="4" w:space="0" w:color="auto"/>
              <w:bottom w:val="single" w:sz="4" w:space="0" w:color="auto"/>
              <w:right w:val="single" w:sz="4" w:space="0" w:color="auto"/>
            </w:tcBorders>
            <w:hideMark/>
          </w:tcPr>
          <w:p w14:paraId="2FA66E3F" w14:textId="77777777" w:rsidR="0001365E" w:rsidRPr="00877166" w:rsidRDefault="0001365E" w:rsidP="0053448E">
            <w:pPr>
              <w:spacing w:after="160"/>
              <w:rPr>
                <w:rFonts w:ascii="Arial" w:hAnsi="Arial" w:cs="Arial"/>
                <w:bCs/>
              </w:rPr>
            </w:pPr>
            <w:r w:rsidRPr="00877166">
              <w:rPr>
                <w:rFonts w:ascii="Arial" w:hAnsi="Arial" w:cs="Arial"/>
                <w:bCs/>
              </w:rPr>
              <w:t>2</w:t>
            </w:r>
          </w:p>
        </w:tc>
        <w:tc>
          <w:tcPr>
            <w:tcW w:w="1803" w:type="dxa"/>
            <w:tcBorders>
              <w:top w:val="single" w:sz="4" w:space="0" w:color="auto"/>
              <w:left w:val="single" w:sz="4" w:space="0" w:color="auto"/>
              <w:bottom w:val="single" w:sz="4" w:space="0" w:color="auto"/>
              <w:right w:val="single" w:sz="4" w:space="0" w:color="auto"/>
            </w:tcBorders>
            <w:hideMark/>
          </w:tcPr>
          <w:p w14:paraId="1EE02DB2" w14:textId="77777777" w:rsidR="0001365E" w:rsidRPr="00877166" w:rsidRDefault="0001365E" w:rsidP="0053448E">
            <w:pPr>
              <w:spacing w:after="160"/>
              <w:rPr>
                <w:rFonts w:ascii="Arial" w:hAnsi="Arial" w:cs="Arial"/>
                <w:bCs/>
              </w:rPr>
            </w:pPr>
            <w:r w:rsidRPr="00877166">
              <w:rPr>
                <w:rFonts w:ascii="Arial" w:hAnsi="Arial" w:cs="Arial"/>
                <w:bCs/>
              </w:rPr>
              <w:t>£723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45D218" w14:textId="77777777" w:rsidR="0001365E" w:rsidRPr="00877166" w:rsidRDefault="0001365E" w:rsidP="0053448E">
            <w:pPr>
              <w:spacing w:after="0"/>
              <w:rPr>
                <w:rFonts w:ascii="Arial" w:hAnsi="Arial" w:cs="Arial"/>
                <w:bCs/>
              </w:rPr>
            </w:pPr>
          </w:p>
        </w:tc>
      </w:tr>
      <w:tr w:rsidR="0001365E" w:rsidRPr="00877166" w14:paraId="1E5EB30D" w14:textId="77777777" w:rsidTr="003960F9">
        <w:tc>
          <w:tcPr>
            <w:tcW w:w="1803" w:type="dxa"/>
            <w:tcBorders>
              <w:top w:val="single" w:sz="4" w:space="0" w:color="auto"/>
              <w:left w:val="single" w:sz="4" w:space="0" w:color="auto"/>
              <w:bottom w:val="single" w:sz="4" w:space="0" w:color="auto"/>
              <w:right w:val="single" w:sz="4" w:space="0" w:color="auto"/>
            </w:tcBorders>
            <w:hideMark/>
          </w:tcPr>
          <w:p w14:paraId="6EB63BBA" w14:textId="77777777" w:rsidR="0001365E" w:rsidRPr="00877166" w:rsidRDefault="0001365E" w:rsidP="0053448E">
            <w:pPr>
              <w:spacing w:after="160"/>
              <w:rPr>
                <w:rFonts w:ascii="Arial" w:hAnsi="Arial" w:cs="Arial"/>
                <w:bCs/>
              </w:rPr>
            </w:pPr>
            <w:r w:rsidRPr="00877166">
              <w:rPr>
                <w:rFonts w:ascii="Arial" w:hAnsi="Arial" w:cs="Arial"/>
                <w:bCs/>
              </w:rPr>
              <w:t>3</w:t>
            </w:r>
          </w:p>
        </w:tc>
        <w:tc>
          <w:tcPr>
            <w:tcW w:w="1803" w:type="dxa"/>
            <w:tcBorders>
              <w:top w:val="single" w:sz="4" w:space="0" w:color="auto"/>
              <w:left w:val="single" w:sz="4" w:space="0" w:color="auto"/>
              <w:bottom w:val="single" w:sz="4" w:space="0" w:color="auto"/>
              <w:right w:val="single" w:sz="4" w:space="0" w:color="auto"/>
            </w:tcBorders>
            <w:hideMark/>
          </w:tcPr>
          <w:p w14:paraId="601E4CD3" w14:textId="77777777" w:rsidR="0001365E" w:rsidRPr="00877166" w:rsidRDefault="0001365E" w:rsidP="0053448E">
            <w:pPr>
              <w:spacing w:after="160"/>
              <w:rPr>
                <w:rFonts w:ascii="Arial" w:hAnsi="Arial" w:cs="Arial"/>
                <w:bCs/>
              </w:rPr>
            </w:pPr>
            <w:r w:rsidRPr="00877166">
              <w:rPr>
                <w:rFonts w:ascii="Arial" w:hAnsi="Arial" w:cs="Arial"/>
                <w:bCs/>
              </w:rPr>
              <w:t>£942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6170B" w14:textId="77777777" w:rsidR="0001365E" w:rsidRPr="00877166" w:rsidRDefault="0001365E" w:rsidP="0053448E">
            <w:pPr>
              <w:spacing w:after="0"/>
              <w:rPr>
                <w:rFonts w:ascii="Arial" w:hAnsi="Arial" w:cs="Arial"/>
                <w:bCs/>
              </w:rPr>
            </w:pPr>
          </w:p>
        </w:tc>
      </w:tr>
      <w:tr w:rsidR="0001365E" w:rsidRPr="00877166" w14:paraId="2BF2588C" w14:textId="77777777" w:rsidTr="003960F9">
        <w:tc>
          <w:tcPr>
            <w:tcW w:w="1803" w:type="dxa"/>
            <w:tcBorders>
              <w:top w:val="single" w:sz="4" w:space="0" w:color="auto"/>
              <w:left w:val="single" w:sz="4" w:space="0" w:color="auto"/>
              <w:bottom w:val="single" w:sz="4" w:space="0" w:color="auto"/>
              <w:right w:val="single" w:sz="4" w:space="0" w:color="auto"/>
            </w:tcBorders>
            <w:hideMark/>
          </w:tcPr>
          <w:p w14:paraId="3207BA16" w14:textId="77777777" w:rsidR="0001365E" w:rsidRPr="00877166" w:rsidRDefault="0001365E" w:rsidP="0053448E">
            <w:pPr>
              <w:spacing w:after="160"/>
              <w:rPr>
                <w:rFonts w:ascii="Arial" w:hAnsi="Arial" w:cs="Arial"/>
                <w:bCs/>
              </w:rPr>
            </w:pPr>
            <w:r w:rsidRPr="00877166">
              <w:rPr>
                <w:rFonts w:ascii="Arial" w:hAnsi="Arial" w:cs="Arial"/>
                <w:bCs/>
              </w:rPr>
              <w:t>4</w:t>
            </w:r>
          </w:p>
        </w:tc>
        <w:tc>
          <w:tcPr>
            <w:tcW w:w="1803" w:type="dxa"/>
            <w:tcBorders>
              <w:top w:val="single" w:sz="4" w:space="0" w:color="auto"/>
              <w:left w:val="single" w:sz="4" w:space="0" w:color="auto"/>
              <w:bottom w:val="single" w:sz="4" w:space="0" w:color="auto"/>
              <w:right w:val="single" w:sz="4" w:space="0" w:color="auto"/>
            </w:tcBorders>
            <w:hideMark/>
          </w:tcPr>
          <w:p w14:paraId="6D7AB8F4" w14:textId="77777777" w:rsidR="0001365E" w:rsidRPr="00877166" w:rsidRDefault="0001365E" w:rsidP="0053448E">
            <w:pPr>
              <w:spacing w:after="160"/>
              <w:rPr>
                <w:rFonts w:ascii="Arial" w:hAnsi="Arial" w:cs="Arial"/>
                <w:bCs/>
              </w:rPr>
            </w:pPr>
            <w:r w:rsidRPr="00877166">
              <w:rPr>
                <w:rFonts w:ascii="Arial" w:hAnsi="Arial" w:cs="Arial"/>
                <w:bCs/>
              </w:rPr>
              <w:t>£1,108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6561D" w14:textId="77777777" w:rsidR="0001365E" w:rsidRPr="00877166" w:rsidRDefault="0001365E" w:rsidP="0053448E">
            <w:pPr>
              <w:spacing w:after="0"/>
              <w:rPr>
                <w:rFonts w:ascii="Arial" w:hAnsi="Arial" w:cs="Arial"/>
                <w:bCs/>
              </w:rPr>
            </w:pPr>
          </w:p>
        </w:tc>
      </w:tr>
      <w:tr w:rsidR="0001365E" w:rsidRPr="00877166" w14:paraId="0CAD25BC" w14:textId="77777777" w:rsidTr="003960F9">
        <w:tc>
          <w:tcPr>
            <w:tcW w:w="1803" w:type="dxa"/>
            <w:tcBorders>
              <w:top w:val="single" w:sz="4" w:space="0" w:color="auto"/>
              <w:left w:val="single" w:sz="4" w:space="0" w:color="auto"/>
              <w:bottom w:val="single" w:sz="4" w:space="0" w:color="auto"/>
              <w:right w:val="single" w:sz="4" w:space="0" w:color="auto"/>
            </w:tcBorders>
            <w:hideMark/>
          </w:tcPr>
          <w:p w14:paraId="0B3BCDAD" w14:textId="77777777" w:rsidR="0001365E" w:rsidRPr="00877166" w:rsidRDefault="0001365E" w:rsidP="0053448E">
            <w:pPr>
              <w:spacing w:after="160"/>
              <w:rPr>
                <w:rFonts w:ascii="Arial" w:hAnsi="Arial" w:cs="Arial"/>
                <w:bCs/>
              </w:rPr>
            </w:pPr>
            <w:r w:rsidRPr="00877166">
              <w:rPr>
                <w:rFonts w:ascii="Arial" w:hAnsi="Arial" w:cs="Arial"/>
                <w:bCs/>
              </w:rPr>
              <w:t>5</w:t>
            </w:r>
          </w:p>
        </w:tc>
        <w:tc>
          <w:tcPr>
            <w:tcW w:w="1803" w:type="dxa"/>
            <w:tcBorders>
              <w:top w:val="single" w:sz="4" w:space="0" w:color="auto"/>
              <w:left w:val="single" w:sz="4" w:space="0" w:color="auto"/>
              <w:bottom w:val="single" w:sz="4" w:space="0" w:color="auto"/>
              <w:right w:val="single" w:sz="4" w:space="0" w:color="auto"/>
            </w:tcBorders>
            <w:hideMark/>
          </w:tcPr>
          <w:p w14:paraId="104E1F05" w14:textId="77777777" w:rsidR="0001365E" w:rsidRPr="00877166" w:rsidRDefault="0001365E" w:rsidP="0053448E">
            <w:pPr>
              <w:spacing w:after="160"/>
              <w:rPr>
                <w:rFonts w:ascii="Arial" w:hAnsi="Arial" w:cs="Arial"/>
                <w:bCs/>
              </w:rPr>
            </w:pPr>
            <w:r w:rsidRPr="00877166">
              <w:rPr>
                <w:rFonts w:ascii="Arial" w:hAnsi="Arial" w:cs="Arial"/>
                <w:bCs/>
              </w:rPr>
              <w:t>£1,299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08CCFF" w14:textId="77777777" w:rsidR="0001365E" w:rsidRPr="00877166" w:rsidRDefault="0001365E" w:rsidP="0053448E">
            <w:pPr>
              <w:spacing w:after="0"/>
              <w:rPr>
                <w:rFonts w:ascii="Arial" w:hAnsi="Arial" w:cs="Arial"/>
                <w:bCs/>
              </w:rPr>
            </w:pPr>
          </w:p>
        </w:tc>
      </w:tr>
    </w:tbl>
    <w:p w14:paraId="698D61A1" w14:textId="77777777" w:rsidR="0001365E" w:rsidRPr="00877166" w:rsidRDefault="0001365E" w:rsidP="0053448E">
      <w:pPr>
        <w:spacing w:after="160"/>
        <w:rPr>
          <w:rFonts w:ascii="Arial" w:hAnsi="Arial" w:cs="Arial"/>
          <w:b/>
          <w:lang w:val="en"/>
        </w:rPr>
      </w:pPr>
    </w:p>
    <w:p w14:paraId="0C51A279" w14:textId="77777777" w:rsidR="006C012C" w:rsidRPr="00877166" w:rsidRDefault="006C012C" w:rsidP="0053448E">
      <w:pPr>
        <w:autoSpaceDE w:val="0"/>
        <w:autoSpaceDN w:val="0"/>
        <w:adjustRightInd w:val="0"/>
        <w:spacing w:after="0"/>
        <w:rPr>
          <w:rFonts w:ascii="Arial" w:hAnsi="Arial" w:cs="Arial"/>
          <w:b/>
        </w:rPr>
      </w:pPr>
      <w:r w:rsidRPr="00877166">
        <w:rPr>
          <w:rFonts w:ascii="Arial" w:hAnsi="Arial" w:cs="Arial"/>
          <w:b/>
        </w:rPr>
        <w:t>***Third Party Nutrient Mitigation Schemes</w:t>
      </w:r>
    </w:p>
    <w:p w14:paraId="32D2BC06" w14:textId="77777777" w:rsidR="006C012C" w:rsidRPr="00877166" w:rsidRDefault="006C012C" w:rsidP="0053448E">
      <w:pPr>
        <w:autoSpaceDE w:val="0"/>
        <w:autoSpaceDN w:val="0"/>
        <w:adjustRightInd w:val="0"/>
        <w:spacing w:after="0"/>
        <w:rPr>
          <w:rFonts w:ascii="Arial" w:hAnsi="Arial" w:cs="Arial"/>
          <w:b/>
        </w:rPr>
      </w:pPr>
    </w:p>
    <w:p w14:paraId="5983F145" w14:textId="6BAA238F" w:rsidR="006C012C" w:rsidRPr="00877166" w:rsidRDefault="006C012C" w:rsidP="0053448E">
      <w:pPr>
        <w:autoSpaceDE w:val="0"/>
        <w:autoSpaceDN w:val="0"/>
        <w:adjustRightInd w:val="0"/>
        <w:spacing w:after="0"/>
        <w:rPr>
          <w:rFonts w:ascii="Arial" w:hAnsi="Arial" w:cs="Arial"/>
          <w:bCs/>
        </w:rPr>
      </w:pPr>
      <w:r w:rsidRPr="00877166">
        <w:rPr>
          <w:rFonts w:ascii="Arial" w:hAnsi="Arial" w:cs="Arial"/>
          <w:bCs/>
        </w:rPr>
        <w:t xml:space="preserve">Havant Borough Council is responsible for ongoing monitoring of </w:t>
      </w:r>
      <w:r w:rsidR="003F38CF" w:rsidRPr="00877166">
        <w:rPr>
          <w:rFonts w:ascii="Arial" w:hAnsi="Arial" w:cs="Arial"/>
          <w:bCs/>
        </w:rPr>
        <w:t>Third-Party</w:t>
      </w:r>
      <w:r w:rsidRPr="00877166">
        <w:rPr>
          <w:rFonts w:ascii="Arial" w:hAnsi="Arial" w:cs="Arial"/>
          <w:bCs/>
        </w:rPr>
        <w:t xml:space="preserve"> Nutrient Mitigation Schemes. When accepting mitigation from such schemes for example Warnford Park Estate, the Council will need to seek a payment from the applicant to contribute towards these costs. The amount payable will be 1% of the total overall kilogramme (kg) purchase cost. This charge can be collected outside the S106 agreement</w:t>
      </w:r>
      <w:r w:rsidR="003F38CF">
        <w:rPr>
          <w:rFonts w:ascii="Arial" w:hAnsi="Arial" w:cs="Arial"/>
          <w:bCs/>
        </w:rPr>
        <w:t>, where the cost is unknown</w:t>
      </w:r>
      <w:r w:rsidRPr="00877166">
        <w:rPr>
          <w:rFonts w:ascii="Arial" w:hAnsi="Arial" w:cs="Arial"/>
          <w:bCs/>
        </w:rPr>
        <w:t>.</w:t>
      </w:r>
    </w:p>
    <w:p w14:paraId="3717ADDF" w14:textId="32942B21" w:rsidR="00087E9C" w:rsidRPr="0053448E" w:rsidRDefault="00087E9C" w:rsidP="0053448E">
      <w:pPr>
        <w:autoSpaceDE w:val="0"/>
        <w:autoSpaceDN w:val="0"/>
        <w:adjustRightInd w:val="0"/>
        <w:spacing w:after="0"/>
        <w:rPr>
          <w:rFonts w:ascii="Arial" w:hAnsi="Arial" w:cs="Arial"/>
          <w:b/>
          <w:color w:val="EE0000"/>
          <w:lang w:val="en"/>
        </w:rPr>
      </w:pPr>
    </w:p>
    <w:sectPr w:rsidR="00087E9C" w:rsidRPr="0053448E">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3EF19" w14:textId="77777777" w:rsidR="00E03F3B" w:rsidRDefault="00E03F3B" w:rsidP="000E1ACC">
      <w:pPr>
        <w:spacing w:after="0" w:line="240" w:lineRule="auto"/>
      </w:pPr>
      <w:r>
        <w:separator/>
      </w:r>
    </w:p>
  </w:endnote>
  <w:endnote w:type="continuationSeparator" w:id="0">
    <w:p w14:paraId="0676A2A4" w14:textId="77777777" w:rsidR="00E03F3B" w:rsidRDefault="00E03F3B" w:rsidP="000E1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5552"/>
      <w:docPartObj>
        <w:docPartGallery w:val="Page Numbers (Bottom of Page)"/>
        <w:docPartUnique/>
      </w:docPartObj>
    </w:sdtPr>
    <w:sdtEndPr/>
    <w:sdtContent>
      <w:sdt>
        <w:sdtPr>
          <w:id w:val="-1769616900"/>
          <w:docPartObj>
            <w:docPartGallery w:val="Page Numbers (Top of Page)"/>
            <w:docPartUnique/>
          </w:docPartObj>
        </w:sdtPr>
        <w:sdtEndPr/>
        <w:sdtContent>
          <w:p w14:paraId="632FACF1" w14:textId="7443B8A7" w:rsidR="000E1ACC" w:rsidRDefault="000E1ACC">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96E8F93" w14:textId="77777777" w:rsidR="000E1ACC" w:rsidRDefault="000E1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BC34B" w14:textId="77777777" w:rsidR="00E03F3B" w:rsidRDefault="00E03F3B" w:rsidP="000E1ACC">
      <w:pPr>
        <w:spacing w:after="0" w:line="240" w:lineRule="auto"/>
      </w:pPr>
      <w:r>
        <w:separator/>
      </w:r>
    </w:p>
  </w:footnote>
  <w:footnote w:type="continuationSeparator" w:id="0">
    <w:p w14:paraId="7085E88E" w14:textId="77777777" w:rsidR="00E03F3B" w:rsidRDefault="00E03F3B" w:rsidP="000E1A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68C3"/>
    <w:multiLevelType w:val="multilevel"/>
    <w:tmpl w:val="9564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050323"/>
    <w:multiLevelType w:val="multilevel"/>
    <w:tmpl w:val="0E1E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495AEF"/>
    <w:multiLevelType w:val="hybridMultilevel"/>
    <w:tmpl w:val="76CE45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16cid:durableId="268591786">
    <w:abstractNumId w:val="2"/>
  </w:num>
  <w:num w:numId="2" w16cid:durableId="1715538380">
    <w:abstractNumId w:val="3"/>
  </w:num>
  <w:num w:numId="3" w16cid:durableId="6175179">
    <w:abstractNumId w:val="0"/>
  </w:num>
  <w:num w:numId="4" w16cid:durableId="1593467648">
    <w:abstractNumId w:val="1"/>
  </w:num>
  <w:num w:numId="5" w16cid:durableId="1386291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2EF9"/>
    <w:rsid w:val="00007F67"/>
    <w:rsid w:val="0001365E"/>
    <w:rsid w:val="00041548"/>
    <w:rsid w:val="000470D0"/>
    <w:rsid w:val="0008472D"/>
    <w:rsid w:val="00087E9C"/>
    <w:rsid w:val="000B0EE3"/>
    <w:rsid w:val="000B198B"/>
    <w:rsid w:val="000B738E"/>
    <w:rsid w:val="000E15F1"/>
    <w:rsid w:val="000E1ACC"/>
    <w:rsid w:val="000E51C0"/>
    <w:rsid w:val="00105A1F"/>
    <w:rsid w:val="00143820"/>
    <w:rsid w:val="00146D6D"/>
    <w:rsid w:val="001544FE"/>
    <w:rsid w:val="0017404B"/>
    <w:rsid w:val="001844DF"/>
    <w:rsid w:val="001B2B6E"/>
    <w:rsid w:val="001B5EE6"/>
    <w:rsid w:val="001C07C6"/>
    <w:rsid w:val="001C0A55"/>
    <w:rsid w:val="001C4EB1"/>
    <w:rsid w:val="001C5CD9"/>
    <w:rsid w:val="00214EDF"/>
    <w:rsid w:val="00220301"/>
    <w:rsid w:val="00242FF1"/>
    <w:rsid w:val="002732A2"/>
    <w:rsid w:val="00284A8A"/>
    <w:rsid w:val="002A1652"/>
    <w:rsid w:val="002A6D3D"/>
    <w:rsid w:val="002E39E5"/>
    <w:rsid w:val="00313624"/>
    <w:rsid w:val="00314489"/>
    <w:rsid w:val="0032791E"/>
    <w:rsid w:val="003420A9"/>
    <w:rsid w:val="00362FA2"/>
    <w:rsid w:val="003A3A79"/>
    <w:rsid w:val="003F38CF"/>
    <w:rsid w:val="00430830"/>
    <w:rsid w:val="004329E5"/>
    <w:rsid w:val="00446494"/>
    <w:rsid w:val="00470F24"/>
    <w:rsid w:val="00472E88"/>
    <w:rsid w:val="004829B0"/>
    <w:rsid w:val="004A1279"/>
    <w:rsid w:val="004C5E2B"/>
    <w:rsid w:val="004F6961"/>
    <w:rsid w:val="005105C0"/>
    <w:rsid w:val="00511078"/>
    <w:rsid w:val="0053448E"/>
    <w:rsid w:val="005B56A3"/>
    <w:rsid w:val="005C34ED"/>
    <w:rsid w:val="005E5646"/>
    <w:rsid w:val="005F79EA"/>
    <w:rsid w:val="00653827"/>
    <w:rsid w:val="00686835"/>
    <w:rsid w:val="006A6818"/>
    <w:rsid w:val="006B463B"/>
    <w:rsid w:val="006C012C"/>
    <w:rsid w:val="006D5554"/>
    <w:rsid w:val="00720207"/>
    <w:rsid w:val="007505AF"/>
    <w:rsid w:val="00774562"/>
    <w:rsid w:val="007873B8"/>
    <w:rsid w:val="00791DE2"/>
    <w:rsid w:val="007D6B84"/>
    <w:rsid w:val="007F0B17"/>
    <w:rsid w:val="007F3F7C"/>
    <w:rsid w:val="008058E1"/>
    <w:rsid w:val="00812CB0"/>
    <w:rsid w:val="00852957"/>
    <w:rsid w:val="00877166"/>
    <w:rsid w:val="008C6592"/>
    <w:rsid w:val="008C6D1F"/>
    <w:rsid w:val="008D0653"/>
    <w:rsid w:val="008D1DF8"/>
    <w:rsid w:val="008E4FEE"/>
    <w:rsid w:val="00943923"/>
    <w:rsid w:val="00993ED4"/>
    <w:rsid w:val="009B5983"/>
    <w:rsid w:val="009D7B45"/>
    <w:rsid w:val="00A2299D"/>
    <w:rsid w:val="00A257E3"/>
    <w:rsid w:val="00A328B9"/>
    <w:rsid w:val="00A51637"/>
    <w:rsid w:val="00A61DD1"/>
    <w:rsid w:val="00A7420C"/>
    <w:rsid w:val="00A947CB"/>
    <w:rsid w:val="00AB77F8"/>
    <w:rsid w:val="00AC3E43"/>
    <w:rsid w:val="00AD1CEB"/>
    <w:rsid w:val="00AD45DB"/>
    <w:rsid w:val="00AF57BE"/>
    <w:rsid w:val="00B01433"/>
    <w:rsid w:val="00B0721C"/>
    <w:rsid w:val="00B12AA2"/>
    <w:rsid w:val="00B2573B"/>
    <w:rsid w:val="00B35C8A"/>
    <w:rsid w:val="00B54FC3"/>
    <w:rsid w:val="00BD5646"/>
    <w:rsid w:val="00BE4A6E"/>
    <w:rsid w:val="00BF15A0"/>
    <w:rsid w:val="00C02834"/>
    <w:rsid w:val="00C05A0A"/>
    <w:rsid w:val="00C14BFC"/>
    <w:rsid w:val="00C2244F"/>
    <w:rsid w:val="00C35311"/>
    <w:rsid w:val="00C96FCC"/>
    <w:rsid w:val="00CC245B"/>
    <w:rsid w:val="00CE0900"/>
    <w:rsid w:val="00D643AE"/>
    <w:rsid w:val="00D87C30"/>
    <w:rsid w:val="00D93A57"/>
    <w:rsid w:val="00DB0D76"/>
    <w:rsid w:val="00DC0481"/>
    <w:rsid w:val="00DC27F6"/>
    <w:rsid w:val="00DC5048"/>
    <w:rsid w:val="00DE09AE"/>
    <w:rsid w:val="00DE236E"/>
    <w:rsid w:val="00DE2EA2"/>
    <w:rsid w:val="00E00ADB"/>
    <w:rsid w:val="00E02F42"/>
    <w:rsid w:val="00E03F3B"/>
    <w:rsid w:val="00E16D07"/>
    <w:rsid w:val="00E533D9"/>
    <w:rsid w:val="00E57073"/>
    <w:rsid w:val="00E76B57"/>
    <w:rsid w:val="00EC0BA5"/>
    <w:rsid w:val="00ED5650"/>
    <w:rsid w:val="00EE057E"/>
    <w:rsid w:val="00F21E15"/>
    <w:rsid w:val="00F4604C"/>
    <w:rsid w:val="00F96359"/>
    <w:rsid w:val="00FA6226"/>
    <w:rsid w:val="00FC370C"/>
    <w:rsid w:val="00FF79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4450E3BD-E410-43CD-A719-0BCBB2C0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4DF"/>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B35C8A"/>
    <w:rPr>
      <w:color w:val="954F72" w:themeColor="followedHyperlink"/>
      <w:u w:val="single"/>
    </w:rPr>
  </w:style>
  <w:style w:type="character" w:styleId="Strong">
    <w:name w:val="Strong"/>
    <w:basedOn w:val="DefaultParagraphFont"/>
    <w:uiPriority w:val="22"/>
    <w:qFormat/>
    <w:rsid w:val="00F21E15"/>
    <w:rPr>
      <w:b/>
      <w:bCs/>
    </w:rPr>
  </w:style>
  <w:style w:type="character" w:styleId="UnresolvedMention">
    <w:name w:val="Unresolved Mention"/>
    <w:basedOn w:val="DefaultParagraphFont"/>
    <w:uiPriority w:val="99"/>
    <w:semiHidden/>
    <w:unhideWhenUsed/>
    <w:rsid w:val="00146D6D"/>
    <w:rPr>
      <w:color w:val="808080"/>
      <w:shd w:val="clear" w:color="auto" w:fill="E6E6E6"/>
    </w:rPr>
  </w:style>
  <w:style w:type="paragraph" w:styleId="NormalWeb">
    <w:name w:val="Normal (Web)"/>
    <w:basedOn w:val="Normal"/>
    <w:uiPriority w:val="99"/>
    <w:semiHidden/>
    <w:unhideWhenUsed/>
    <w:rsid w:val="001B2B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E1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ACC"/>
  </w:style>
  <w:style w:type="paragraph" w:styleId="Footer">
    <w:name w:val="footer"/>
    <w:basedOn w:val="Normal"/>
    <w:link w:val="FooterChar"/>
    <w:uiPriority w:val="99"/>
    <w:unhideWhenUsed/>
    <w:rsid w:val="000E1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ACC"/>
  </w:style>
  <w:style w:type="character" w:styleId="CommentReference">
    <w:name w:val="annotation reference"/>
    <w:basedOn w:val="DefaultParagraphFont"/>
    <w:uiPriority w:val="99"/>
    <w:semiHidden/>
    <w:unhideWhenUsed/>
    <w:rsid w:val="00A2299D"/>
    <w:rPr>
      <w:sz w:val="16"/>
      <w:szCs w:val="16"/>
    </w:rPr>
  </w:style>
  <w:style w:type="paragraph" w:styleId="CommentText">
    <w:name w:val="annotation text"/>
    <w:basedOn w:val="Normal"/>
    <w:link w:val="CommentTextChar"/>
    <w:uiPriority w:val="99"/>
    <w:unhideWhenUsed/>
    <w:rsid w:val="00A2299D"/>
    <w:pPr>
      <w:spacing w:line="240" w:lineRule="auto"/>
    </w:pPr>
    <w:rPr>
      <w:sz w:val="20"/>
      <w:szCs w:val="20"/>
    </w:rPr>
  </w:style>
  <w:style w:type="character" w:customStyle="1" w:styleId="CommentTextChar">
    <w:name w:val="Comment Text Char"/>
    <w:basedOn w:val="DefaultParagraphFont"/>
    <w:link w:val="CommentText"/>
    <w:uiPriority w:val="99"/>
    <w:rsid w:val="00A2299D"/>
    <w:rPr>
      <w:sz w:val="20"/>
      <w:szCs w:val="20"/>
    </w:rPr>
  </w:style>
  <w:style w:type="paragraph" w:styleId="CommentSubject">
    <w:name w:val="annotation subject"/>
    <w:basedOn w:val="CommentText"/>
    <w:next w:val="CommentText"/>
    <w:link w:val="CommentSubjectChar"/>
    <w:uiPriority w:val="99"/>
    <w:semiHidden/>
    <w:unhideWhenUsed/>
    <w:rsid w:val="00A2299D"/>
    <w:rPr>
      <w:b/>
      <w:bCs/>
    </w:rPr>
  </w:style>
  <w:style w:type="character" w:customStyle="1" w:styleId="CommentSubjectChar">
    <w:name w:val="Comment Subject Char"/>
    <w:basedOn w:val="CommentTextChar"/>
    <w:link w:val="CommentSubject"/>
    <w:uiPriority w:val="99"/>
    <w:semiHidden/>
    <w:rsid w:val="00A229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386247">
      <w:bodyDiv w:val="1"/>
      <w:marLeft w:val="0"/>
      <w:marRight w:val="0"/>
      <w:marTop w:val="0"/>
      <w:marBottom w:val="0"/>
      <w:divBdr>
        <w:top w:val="none" w:sz="0" w:space="0" w:color="auto"/>
        <w:left w:val="none" w:sz="0" w:space="0" w:color="auto"/>
        <w:bottom w:val="none" w:sz="0" w:space="0" w:color="auto"/>
        <w:right w:val="none" w:sz="0" w:space="0" w:color="auto"/>
      </w:divBdr>
      <w:divsChild>
        <w:div w:id="1717192116">
          <w:marLeft w:val="0"/>
          <w:marRight w:val="0"/>
          <w:marTop w:val="0"/>
          <w:marBottom w:val="0"/>
          <w:divBdr>
            <w:top w:val="none" w:sz="0" w:space="0" w:color="auto"/>
            <w:left w:val="none" w:sz="0" w:space="0" w:color="auto"/>
            <w:bottom w:val="none" w:sz="0" w:space="0" w:color="auto"/>
            <w:right w:val="none" w:sz="0" w:space="0" w:color="auto"/>
          </w:divBdr>
          <w:divsChild>
            <w:div w:id="383063611">
              <w:marLeft w:val="0"/>
              <w:marRight w:val="0"/>
              <w:marTop w:val="0"/>
              <w:marBottom w:val="0"/>
              <w:divBdr>
                <w:top w:val="none" w:sz="0" w:space="0" w:color="auto"/>
                <w:left w:val="none" w:sz="0" w:space="0" w:color="auto"/>
                <w:bottom w:val="none" w:sz="0" w:space="0" w:color="auto"/>
                <w:right w:val="none" w:sz="0" w:space="0" w:color="auto"/>
              </w:divBdr>
              <w:divsChild>
                <w:div w:id="347801908">
                  <w:marLeft w:val="0"/>
                  <w:marRight w:val="0"/>
                  <w:marTop w:val="0"/>
                  <w:marBottom w:val="0"/>
                  <w:divBdr>
                    <w:top w:val="none" w:sz="0" w:space="0" w:color="auto"/>
                    <w:left w:val="none" w:sz="0" w:space="0" w:color="auto"/>
                    <w:bottom w:val="none" w:sz="0" w:space="0" w:color="auto"/>
                    <w:right w:val="none" w:sz="0" w:space="0" w:color="auto"/>
                  </w:divBdr>
                  <w:divsChild>
                    <w:div w:id="1716737147">
                      <w:marLeft w:val="0"/>
                      <w:marRight w:val="0"/>
                      <w:marTop w:val="0"/>
                      <w:marBottom w:val="0"/>
                      <w:divBdr>
                        <w:top w:val="none" w:sz="0" w:space="0" w:color="auto"/>
                        <w:left w:val="none" w:sz="0" w:space="0" w:color="auto"/>
                        <w:bottom w:val="none" w:sz="0" w:space="0" w:color="auto"/>
                        <w:right w:val="none" w:sz="0" w:space="0" w:color="auto"/>
                      </w:divBdr>
                      <w:divsChild>
                        <w:div w:id="431245273">
                          <w:marLeft w:val="0"/>
                          <w:marRight w:val="0"/>
                          <w:marTop w:val="0"/>
                          <w:marBottom w:val="0"/>
                          <w:divBdr>
                            <w:top w:val="none" w:sz="0" w:space="0" w:color="auto"/>
                            <w:left w:val="none" w:sz="0" w:space="0" w:color="auto"/>
                            <w:bottom w:val="none" w:sz="0" w:space="0" w:color="auto"/>
                            <w:right w:val="none" w:sz="0" w:space="0" w:color="auto"/>
                          </w:divBdr>
                          <w:divsChild>
                            <w:div w:id="1358702068">
                              <w:marLeft w:val="0"/>
                              <w:marRight w:val="0"/>
                              <w:marTop w:val="0"/>
                              <w:marBottom w:val="0"/>
                              <w:divBdr>
                                <w:top w:val="none" w:sz="0" w:space="0" w:color="auto"/>
                                <w:left w:val="none" w:sz="0" w:space="0" w:color="auto"/>
                                <w:bottom w:val="none" w:sz="0" w:space="0" w:color="auto"/>
                                <w:right w:val="none" w:sz="0" w:space="0" w:color="auto"/>
                              </w:divBdr>
                              <w:divsChild>
                                <w:div w:id="1425149278">
                                  <w:marLeft w:val="0"/>
                                  <w:marRight w:val="0"/>
                                  <w:marTop w:val="0"/>
                                  <w:marBottom w:val="0"/>
                                  <w:divBdr>
                                    <w:top w:val="none" w:sz="0" w:space="0" w:color="auto"/>
                                    <w:left w:val="none" w:sz="0" w:space="0" w:color="auto"/>
                                    <w:bottom w:val="none" w:sz="0" w:space="0" w:color="auto"/>
                                    <w:right w:val="none" w:sz="0" w:space="0" w:color="auto"/>
                                  </w:divBdr>
                                  <w:divsChild>
                                    <w:div w:id="1174800070">
                                      <w:marLeft w:val="0"/>
                                      <w:marRight w:val="0"/>
                                      <w:marTop w:val="0"/>
                                      <w:marBottom w:val="0"/>
                                      <w:divBdr>
                                        <w:top w:val="none" w:sz="0" w:space="0" w:color="auto"/>
                                        <w:left w:val="none" w:sz="0" w:space="0" w:color="auto"/>
                                        <w:bottom w:val="none" w:sz="0" w:space="0" w:color="auto"/>
                                        <w:right w:val="none" w:sz="0" w:space="0" w:color="auto"/>
                                      </w:divBdr>
                                      <w:divsChild>
                                        <w:div w:id="54669958">
                                          <w:marLeft w:val="0"/>
                                          <w:marRight w:val="0"/>
                                          <w:marTop w:val="0"/>
                                          <w:marBottom w:val="0"/>
                                          <w:divBdr>
                                            <w:top w:val="none" w:sz="0" w:space="0" w:color="auto"/>
                                            <w:left w:val="none" w:sz="0" w:space="0" w:color="auto"/>
                                            <w:bottom w:val="none" w:sz="0" w:space="0" w:color="auto"/>
                                            <w:right w:val="none" w:sz="0" w:space="0" w:color="auto"/>
                                          </w:divBdr>
                                          <w:divsChild>
                                            <w:div w:id="1614365891">
                                              <w:marLeft w:val="0"/>
                                              <w:marRight w:val="0"/>
                                              <w:marTop w:val="0"/>
                                              <w:marBottom w:val="0"/>
                                              <w:divBdr>
                                                <w:top w:val="none" w:sz="0" w:space="0" w:color="auto"/>
                                                <w:left w:val="none" w:sz="0" w:space="0" w:color="auto"/>
                                                <w:bottom w:val="none" w:sz="0" w:space="0" w:color="auto"/>
                                                <w:right w:val="none" w:sz="0" w:space="0" w:color="auto"/>
                                              </w:divBdr>
                                              <w:divsChild>
                                                <w:div w:id="93211209">
                                                  <w:marLeft w:val="0"/>
                                                  <w:marRight w:val="0"/>
                                                  <w:marTop w:val="0"/>
                                                  <w:marBottom w:val="0"/>
                                                  <w:divBdr>
                                                    <w:top w:val="none" w:sz="0" w:space="0" w:color="auto"/>
                                                    <w:left w:val="none" w:sz="0" w:space="0" w:color="auto"/>
                                                    <w:bottom w:val="none" w:sz="0" w:space="0" w:color="auto"/>
                                                    <w:right w:val="none" w:sz="0" w:space="0" w:color="auto"/>
                                                  </w:divBdr>
                                                  <w:divsChild>
                                                    <w:div w:id="386533837">
                                                      <w:marLeft w:val="0"/>
                                                      <w:marRight w:val="0"/>
                                                      <w:marTop w:val="0"/>
                                                      <w:marBottom w:val="0"/>
                                                      <w:divBdr>
                                                        <w:top w:val="none" w:sz="0" w:space="0" w:color="auto"/>
                                                        <w:left w:val="none" w:sz="0" w:space="0" w:color="auto"/>
                                                        <w:bottom w:val="none" w:sz="0" w:space="0" w:color="auto"/>
                                                        <w:right w:val="none" w:sz="0" w:space="0" w:color="auto"/>
                                                      </w:divBdr>
                                                      <w:divsChild>
                                                        <w:div w:id="695430329">
                                                          <w:marLeft w:val="0"/>
                                                          <w:marRight w:val="0"/>
                                                          <w:marTop w:val="0"/>
                                                          <w:marBottom w:val="0"/>
                                                          <w:divBdr>
                                                            <w:top w:val="none" w:sz="0" w:space="0" w:color="auto"/>
                                                            <w:left w:val="none" w:sz="0" w:space="0" w:color="auto"/>
                                                            <w:bottom w:val="none" w:sz="0" w:space="0" w:color="auto"/>
                                                            <w:right w:val="none" w:sz="0" w:space="0" w:color="auto"/>
                                                          </w:divBdr>
                                                          <w:divsChild>
                                                            <w:div w:id="167441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82415160">
      <w:bodyDiv w:val="1"/>
      <w:marLeft w:val="0"/>
      <w:marRight w:val="0"/>
      <w:marTop w:val="0"/>
      <w:marBottom w:val="0"/>
      <w:divBdr>
        <w:top w:val="none" w:sz="0" w:space="0" w:color="auto"/>
        <w:left w:val="none" w:sz="0" w:space="0" w:color="auto"/>
        <w:bottom w:val="none" w:sz="0" w:space="0" w:color="auto"/>
        <w:right w:val="none" w:sz="0" w:space="0" w:color="auto"/>
      </w:divBdr>
    </w:div>
    <w:div w:id="1795560085">
      <w:bodyDiv w:val="1"/>
      <w:marLeft w:val="0"/>
      <w:marRight w:val="0"/>
      <w:marTop w:val="0"/>
      <w:marBottom w:val="0"/>
      <w:divBdr>
        <w:top w:val="none" w:sz="0" w:space="0" w:color="auto"/>
        <w:left w:val="none" w:sz="0" w:space="0" w:color="auto"/>
        <w:bottom w:val="none" w:sz="0" w:space="0" w:color="auto"/>
        <w:right w:val="none" w:sz="0" w:space="0" w:color="auto"/>
      </w:divBdr>
    </w:div>
    <w:div w:id="180920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ningportal.co.uk/planning/policy-and-legislation/CIL/relief-exemption-and-phase-credi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avant.gov.uk/sites/default/files/documents/HBC%20CIL%20Charging%20Schedule%20Full%20Document%20Feb%202013.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avant.gov.uk/planning-services/planning-policy/community-infrastructure-levy-cil/section-106-legal-agreements-3" TargetMode="External"/><Relationship Id="rId5" Type="http://schemas.openxmlformats.org/officeDocument/2006/relationships/footnotes" Target="footnotes.xml"/><Relationship Id="rId10" Type="http://schemas.openxmlformats.org/officeDocument/2006/relationships/hyperlink" Target="https://www.havant.gov.uk/planning-services/planning-policy/community-infrastructure-levy-cil/community-infrastructure-levy-6" TargetMode="External"/><Relationship Id="rId4" Type="http://schemas.openxmlformats.org/officeDocument/2006/relationships/webSettings" Target="webSettings.xml"/><Relationship Id="rId9" Type="http://schemas.openxmlformats.org/officeDocument/2006/relationships/hyperlink" Target="https://www.push.gov.uk/work/mitigation-schemes-available-to-develop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Pages>
  <Words>1095</Words>
  <Characters>5916</Characters>
  <Application>Microsoft Office Word</Application>
  <DocSecurity>0</DocSecurity>
  <Lines>137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Weaver, Louise</cp:lastModifiedBy>
  <cp:revision>43</cp:revision>
  <dcterms:created xsi:type="dcterms:W3CDTF">2025-09-24T11:27:00Z</dcterms:created>
  <dcterms:modified xsi:type="dcterms:W3CDTF">2026-07-30T10:49:00Z</dcterms:modified>
</cp:coreProperties>
</file>